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1749A803" w:rsidR="000403E2" w:rsidRPr="0049619F"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r w:rsidR="0046079B">
        <w:rPr>
          <w:rFonts w:ascii="Arial" w:eastAsia="Batang" w:hAnsi="Arial" w:cs="Arial"/>
          <w:b/>
          <w:bCs/>
          <w:sz w:val="28"/>
          <w:szCs w:val="24"/>
          <w:lang w:val="en-GB"/>
        </w:rPr>
        <w:t>10</w:t>
      </w:r>
      <w:r w:rsidR="0049619F">
        <w:rPr>
          <w:rFonts w:ascii="Arial" w:eastAsia="Batang" w:hAnsi="Arial" w:cs="Arial"/>
          <w:b/>
          <w:bCs/>
          <w:sz w:val="28"/>
          <w:szCs w:val="24"/>
          <w:lang w:val="en-GB"/>
        </w:rPr>
        <w:t>1</w:t>
      </w:r>
      <w:r w:rsidR="000403E2" w:rsidRPr="000403E2">
        <w:rPr>
          <w:rFonts w:ascii="Arial" w:eastAsia="Batang" w:hAnsi="Arial" w:cs="Arial"/>
          <w:b/>
          <w:bCs/>
          <w:sz w:val="28"/>
          <w:szCs w:val="24"/>
          <w:lang w:val="en-GB"/>
        </w:rPr>
        <w:tab/>
      </w:r>
      <w:r w:rsidR="00142174" w:rsidRPr="0049619F">
        <w:rPr>
          <w:rFonts w:ascii="Arial" w:eastAsia="Batang" w:hAnsi="Arial" w:cs="Arial"/>
          <w:b/>
          <w:bCs/>
          <w:sz w:val="28"/>
          <w:szCs w:val="24"/>
          <w:lang w:val="en-GB"/>
        </w:rPr>
        <w:t>R1-</w:t>
      </w:r>
      <w:r w:rsidR="0046079B" w:rsidRPr="0049619F">
        <w:rPr>
          <w:rFonts w:ascii="Arial" w:eastAsia="Batang" w:hAnsi="Arial" w:cs="Arial"/>
          <w:b/>
          <w:bCs/>
          <w:sz w:val="28"/>
          <w:szCs w:val="24"/>
          <w:lang w:val="en-GB"/>
        </w:rPr>
        <w:t>20</w:t>
      </w:r>
      <w:r w:rsidR="00A15421" w:rsidRPr="0049619F">
        <w:rPr>
          <w:rFonts w:ascii="Arial" w:eastAsia="Batang" w:hAnsi="Arial" w:cs="Arial"/>
          <w:b/>
          <w:bCs/>
          <w:sz w:val="28"/>
          <w:szCs w:val="24"/>
          <w:lang w:val="en-GB"/>
        </w:rPr>
        <w:t>0</w:t>
      </w:r>
      <w:r w:rsidR="009B5E87">
        <w:rPr>
          <w:rFonts w:ascii="Arial" w:eastAsia="Batang" w:hAnsi="Arial" w:cs="Arial"/>
          <w:b/>
          <w:bCs/>
          <w:sz w:val="28"/>
          <w:szCs w:val="24"/>
          <w:lang w:val="en-GB"/>
        </w:rPr>
        <w:t>4196</w:t>
      </w:r>
    </w:p>
    <w:p w14:paraId="28529A4B" w14:textId="1DC927A9"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 xml:space="preserve">e-meeting. </w:t>
      </w:r>
      <w:r w:rsidR="0049619F">
        <w:rPr>
          <w:rFonts w:ascii="Arial" w:eastAsia="MS Mincho" w:hAnsi="Arial" w:cs="Arial"/>
          <w:b/>
          <w:bCs/>
          <w:sz w:val="28"/>
          <w:lang w:eastAsia="ja-JP"/>
        </w:rPr>
        <w:t>25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May – 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June</w:t>
      </w:r>
      <w:r>
        <w:rPr>
          <w:rFonts w:ascii="Arial" w:eastAsia="MS Mincho" w:hAnsi="Arial" w:cs="Arial"/>
          <w:b/>
          <w:bCs/>
          <w:sz w:val="28"/>
          <w:lang w:eastAsia="ja-JP"/>
        </w:rPr>
        <w:t xml:space="preserve">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70D5A72D"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000E55AC">
        <w:rPr>
          <w:b/>
          <w:color w:val="000000" w:themeColor="text1"/>
          <w:kern w:val="2"/>
          <w:sz w:val="24"/>
          <w:lang w:eastAsia="zh-CN"/>
        </w:rPr>
        <w:t>8.</w:t>
      </w:r>
      <w:r w:rsidR="00016C55">
        <w:rPr>
          <w:b/>
          <w:color w:val="000000" w:themeColor="text1"/>
          <w:kern w:val="2"/>
          <w:sz w:val="24"/>
          <w:lang w:eastAsia="zh-CN"/>
        </w:rPr>
        <w:t>4.1.1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08B404A0"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16C55">
        <w:rPr>
          <w:rFonts w:eastAsia="MS Mincho"/>
          <w:b/>
          <w:color w:val="000000" w:themeColor="text1"/>
          <w:kern w:val="2"/>
          <w:sz w:val="24"/>
          <w:lang w:eastAsia="ja-JP"/>
        </w:rPr>
        <w:t xml:space="preserve">On </w:t>
      </w:r>
      <w:r w:rsidR="009B5E87">
        <w:rPr>
          <w:rFonts w:eastAsia="MS Mincho"/>
          <w:b/>
          <w:color w:val="000000" w:themeColor="text1"/>
          <w:kern w:val="2"/>
          <w:sz w:val="24"/>
          <w:lang w:eastAsia="ja-JP"/>
        </w:rPr>
        <w:t xml:space="preserve">NR </w:t>
      </w:r>
      <w:r w:rsidR="00016C55">
        <w:rPr>
          <w:rFonts w:eastAsia="MS Mincho"/>
          <w:b/>
          <w:color w:val="000000" w:themeColor="text1"/>
          <w:kern w:val="2"/>
          <w:sz w:val="24"/>
          <w:lang w:eastAsia="ja-JP"/>
        </w:rPr>
        <w:t>coverage analysis for FR1</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52B0A446" w14:textId="7BFC80DA" w:rsidR="000E55AC" w:rsidRDefault="000E55AC" w:rsidP="000A7089">
      <w:pPr>
        <w:autoSpaceDE/>
        <w:autoSpaceDN/>
        <w:adjustRightInd/>
        <w:snapToGrid/>
        <w:spacing w:after="240"/>
        <w:rPr>
          <w:color w:val="000000" w:themeColor="text1"/>
          <w:lang w:eastAsia="zh-CN"/>
        </w:rPr>
      </w:pPr>
      <w:r>
        <w:rPr>
          <w:color w:val="000000" w:themeColor="text1"/>
          <w:lang w:eastAsia="zh-CN"/>
        </w:rPr>
        <w:t xml:space="preserve">A study item on </w:t>
      </w:r>
      <w:r w:rsidR="00016C55">
        <w:rPr>
          <w:color w:val="000000" w:themeColor="text1"/>
          <w:lang w:eastAsia="zh-CN"/>
        </w:rPr>
        <w:t>NR coverage enhancement</w:t>
      </w:r>
      <w:r>
        <w:rPr>
          <w:color w:val="000000" w:themeColor="text1"/>
          <w:lang w:eastAsia="zh-CN"/>
        </w:rPr>
        <w:t xml:space="preserve"> was approved </w:t>
      </w:r>
      <w:r w:rsidRPr="00016C55">
        <w:rPr>
          <w:color w:val="000000" w:themeColor="text1"/>
          <w:lang w:eastAsia="zh-CN"/>
        </w:rPr>
        <w:t>at RAN#</w:t>
      </w:r>
      <w:r w:rsidR="00016C55" w:rsidRPr="00016C55">
        <w:rPr>
          <w:color w:val="000000" w:themeColor="text1"/>
          <w:lang w:eastAsia="zh-CN"/>
        </w:rPr>
        <w:t>86</w:t>
      </w:r>
      <w:r>
        <w:rPr>
          <w:color w:val="000000" w:themeColor="text1"/>
          <w:lang w:eastAsia="zh-CN"/>
        </w:rPr>
        <w:t xml:space="preserve">, </w:t>
      </w:r>
      <w:r w:rsidR="00F42704">
        <w:rPr>
          <w:color w:val="000000" w:themeColor="text1"/>
          <w:lang w:eastAsia="zh-CN"/>
        </w:rPr>
        <w:t>including</w:t>
      </w:r>
      <w:r>
        <w:rPr>
          <w:color w:val="000000" w:themeColor="text1"/>
          <w:lang w:eastAsia="zh-CN"/>
        </w:rPr>
        <w:t xml:space="preserve"> the following objectives</w:t>
      </w:r>
      <w:r w:rsidR="00016C55">
        <w:rPr>
          <w:color w:val="000000" w:themeColor="text1"/>
          <w:lang w:eastAsia="zh-CN"/>
        </w:rPr>
        <w:t xml:space="preserve"> (aspects that are not relevant to FR1 are </w:t>
      </w:r>
      <w:proofErr w:type="spellStart"/>
      <w:r w:rsidR="00016C55">
        <w:rPr>
          <w:color w:val="000000" w:themeColor="text1"/>
          <w:lang w:eastAsia="zh-CN"/>
        </w:rPr>
        <w:t>de-emphasised</w:t>
      </w:r>
      <w:proofErr w:type="spellEnd"/>
      <w:r w:rsidR="00016C55">
        <w:rPr>
          <w:color w:val="000000" w:themeColor="text1"/>
          <w:lang w:eastAsia="zh-CN"/>
        </w:rPr>
        <w:t xml:space="preserve"> in the following text)</w:t>
      </w:r>
      <w:r>
        <w:rPr>
          <w:color w:val="000000" w:themeColor="text1"/>
          <w:lang w:eastAsia="zh-CN"/>
        </w:rPr>
        <w:t>:</w:t>
      </w:r>
    </w:p>
    <w:p w14:paraId="5FA23E5F" w14:textId="77777777" w:rsidR="00016C55" w:rsidRPr="00016C55" w:rsidRDefault="00016C55" w:rsidP="00016C55">
      <w:pPr>
        <w:spacing w:afterLines="50"/>
        <w:rPr>
          <w:bCs/>
          <w:color w:val="002060"/>
          <w:lang w:val="en-GB"/>
        </w:rPr>
      </w:pPr>
      <w:bookmarkStart w:id="1" w:name="_Hlk40204556"/>
      <w:bookmarkStart w:id="2" w:name="_Hlk26857702"/>
      <w:r w:rsidRPr="00016C55">
        <w:rPr>
          <w:bCs/>
          <w:color w:val="002060"/>
        </w:rPr>
        <w:t>The objective of this study item is to study potential coverage enhancement solutions for specific scenarios for both FR1 and FR2. The detailed objectives are as follows.</w:t>
      </w:r>
    </w:p>
    <w:p w14:paraId="6E3FB78C" w14:textId="77777777" w:rsidR="00016C55" w:rsidRPr="00016C55" w:rsidRDefault="00016C55" w:rsidP="00016C55">
      <w:pPr>
        <w:numPr>
          <w:ilvl w:val="0"/>
          <w:numId w:val="35"/>
        </w:numPr>
        <w:autoSpaceDE/>
        <w:adjustRightInd/>
        <w:snapToGrid/>
        <w:spacing w:before="120" w:line="276" w:lineRule="auto"/>
        <w:ind w:hanging="357"/>
        <w:rPr>
          <w:color w:val="002060"/>
          <w:lang w:eastAsia="zh-CN"/>
        </w:rPr>
      </w:pPr>
      <w:r w:rsidRPr="00016C55">
        <w:rPr>
          <w:color w:val="002060"/>
          <w:lang w:eastAsia="zh-CN"/>
        </w:rPr>
        <w:t>The target scenarios and services include</w:t>
      </w:r>
    </w:p>
    <w:p w14:paraId="1D716B6D" w14:textId="77777777" w:rsidR="00016C55" w:rsidRPr="00016C55" w:rsidRDefault="00016C55" w:rsidP="00016C55">
      <w:pPr>
        <w:numPr>
          <w:ilvl w:val="1"/>
          <w:numId w:val="35"/>
        </w:numPr>
        <w:autoSpaceDE/>
        <w:adjustRightInd/>
        <w:snapToGrid/>
        <w:spacing w:before="120" w:line="276" w:lineRule="auto"/>
        <w:ind w:hanging="357"/>
        <w:rPr>
          <w:color w:val="002060"/>
          <w:lang w:val="en-GB" w:eastAsia="zh-CN"/>
        </w:rPr>
      </w:pPr>
      <w:r w:rsidRPr="00016C55">
        <w:rPr>
          <w:color w:val="002060"/>
          <w:lang w:eastAsia="zh-CN"/>
        </w:rPr>
        <w:t xml:space="preserve">Urban (outdoor </w:t>
      </w:r>
      <w:proofErr w:type="spellStart"/>
      <w:r w:rsidRPr="00016C55">
        <w:rPr>
          <w:rFonts w:eastAsia="Malgun Gothic"/>
          <w:color w:val="002060"/>
          <w:lang w:eastAsia="ko-KR"/>
        </w:rPr>
        <w:t>gNB</w:t>
      </w:r>
      <w:proofErr w:type="spellEnd"/>
      <w:r w:rsidRPr="00016C55">
        <w:rPr>
          <w:rFonts w:eastAsia="Malgun Gothic"/>
          <w:color w:val="002060"/>
          <w:lang w:eastAsia="ko-KR"/>
        </w:rPr>
        <w:t xml:space="preserve"> serving</w:t>
      </w:r>
      <w:r w:rsidRPr="00016C55">
        <w:rPr>
          <w:color w:val="002060"/>
          <w:lang w:eastAsia="zh-CN"/>
        </w:rPr>
        <w:t xml:space="preserve"> indoor UEs) scenario, and rural scenario (including extreme </w:t>
      </w:r>
      <w:proofErr w:type="gramStart"/>
      <w:r w:rsidRPr="00016C55">
        <w:rPr>
          <w:color w:val="002060"/>
          <w:lang w:eastAsia="zh-CN"/>
        </w:rPr>
        <w:t>long distance</w:t>
      </w:r>
      <w:proofErr w:type="gramEnd"/>
      <w:r w:rsidRPr="00016C55">
        <w:rPr>
          <w:color w:val="002060"/>
          <w:lang w:eastAsia="zh-CN"/>
        </w:rPr>
        <w:t xml:space="preserve"> rural scenario) for FR1</w:t>
      </w:r>
    </w:p>
    <w:p w14:paraId="2332E7ED" w14:textId="77777777" w:rsidR="00016C55" w:rsidRPr="00016C55" w:rsidRDefault="00016C55" w:rsidP="00016C55">
      <w:pPr>
        <w:numPr>
          <w:ilvl w:val="1"/>
          <w:numId w:val="35"/>
        </w:numPr>
        <w:autoSpaceDE/>
        <w:adjustRightInd/>
        <w:snapToGrid/>
        <w:spacing w:before="120" w:line="276" w:lineRule="auto"/>
        <w:ind w:hanging="357"/>
        <w:rPr>
          <w:color w:val="B4C6E7" w:themeColor="accent5" w:themeTint="66"/>
          <w:lang w:eastAsia="zh-CN"/>
        </w:rPr>
      </w:pPr>
      <w:r w:rsidRPr="00016C55">
        <w:rPr>
          <w:color w:val="B4C6E7" w:themeColor="accent5" w:themeTint="66"/>
          <w:lang w:eastAsia="zh-CN"/>
        </w:rPr>
        <w:t xml:space="preserve">Indoor scenario (indoor </w:t>
      </w:r>
      <w:proofErr w:type="spellStart"/>
      <w:r w:rsidRPr="00016C55">
        <w:rPr>
          <w:rFonts w:eastAsia="Malgun Gothic"/>
          <w:color w:val="B4C6E7" w:themeColor="accent5" w:themeTint="66"/>
          <w:lang w:eastAsia="ko-KR"/>
        </w:rPr>
        <w:t>gNB</w:t>
      </w:r>
      <w:proofErr w:type="spellEnd"/>
      <w:r w:rsidRPr="00016C55">
        <w:rPr>
          <w:rFonts w:eastAsia="Malgun Gothic"/>
          <w:color w:val="B4C6E7" w:themeColor="accent5" w:themeTint="66"/>
          <w:lang w:eastAsia="ko-KR"/>
        </w:rPr>
        <w:t xml:space="preserve"> serving</w:t>
      </w:r>
      <w:r w:rsidRPr="00016C55">
        <w:rPr>
          <w:color w:val="B4C6E7" w:themeColor="accent5" w:themeTint="66"/>
          <w:lang w:eastAsia="zh-CN"/>
        </w:rPr>
        <w:t xml:space="preserve"> indoor UEs), and urban/suburban scenario (including outdoor </w:t>
      </w:r>
      <w:proofErr w:type="spellStart"/>
      <w:r w:rsidRPr="00016C55">
        <w:rPr>
          <w:rFonts w:eastAsia="Malgun Gothic"/>
          <w:color w:val="B4C6E7" w:themeColor="accent5" w:themeTint="66"/>
          <w:lang w:eastAsia="ko-KR"/>
        </w:rPr>
        <w:t>gNB</w:t>
      </w:r>
      <w:proofErr w:type="spellEnd"/>
      <w:r w:rsidRPr="00016C55">
        <w:rPr>
          <w:rFonts w:eastAsia="Malgun Gothic"/>
          <w:color w:val="B4C6E7" w:themeColor="accent5" w:themeTint="66"/>
          <w:lang w:eastAsia="ko-KR"/>
        </w:rPr>
        <w:t xml:space="preserve"> serving</w:t>
      </w:r>
      <w:r w:rsidRPr="00016C55">
        <w:rPr>
          <w:color w:val="B4C6E7" w:themeColor="accent5" w:themeTint="66"/>
          <w:lang w:eastAsia="zh-CN"/>
        </w:rPr>
        <w:t xml:space="preserve"> outdoor UEs and outdoor </w:t>
      </w:r>
      <w:proofErr w:type="spellStart"/>
      <w:r w:rsidRPr="00016C55">
        <w:rPr>
          <w:rFonts w:eastAsia="Malgun Gothic"/>
          <w:color w:val="B4C6E7" w:themeColor="accent5" w:themeTint="66"/>
          <w:lang w:eastAsia="ko-KR"/>
        </w:rPr>
        <w:t>gNB</w:t>
      </w:r>
      <w:proofErr w:type="spellEnd"/>
      <w:r w:rsidRPr="00016C55">
        <w:rPr>
          <w:rFonts w:eastAsia="Malgun Gothic"/>
          <w:color w:val="B4C6E7" w:themeColor="accent5" w:themeTint="66"/>
          <w:lang w:eastAsia="ko-KR"/>
        </w:rPr>
        <w:t xml:space="preserve"> serving</w:t>
      </w:r>
      <w:r w:rsidRPr="00016C55">
        <w:rPr>
          <w:color w:val="B4C6E7" w:themeColor="accent5" w:themeTint="66"/>
          <w:lang w:eastAsia="zh-CN"/>
        </w:rPr>
        <w:t xml:space="preserve"> indoor UEs) for FR2.</w:t>
      </w:r>
    </w:p>
    <w:p w14:paraId="72F832D4" w14:textId="77777777" w:rsidR="00016C55" w:rsidRPr="00016C55" w:rsidRDefault="00016C55" w:rsidP="00016C55">
      <w:pPr>
        <w:numPr>
          <w:ilvl w:val="1"/>
          <w:numId w:val="35"/>
        </w:numPr>
        <w:autoSpaceDE/>
        <w:adjustRightInd/>
        <w:snapToGrid/>
        <w:spacing w:before="120" w:line="276" w:lineRule="auto"/>
        <w:ind w:hanging="357"/>
        <w:rPr>
          <w:color w:val="002060"/>
          <w:lang w:eastAsia="zh-CN"/>
        </w:rPr>
      </w:pPr>
      <w:r w:rsidRPr="00016C55">
        <w:rPr>
          <w:color w:val="002060"/>
          <w:lang w:eastAsia="zh-CN"/>
        </w:rPr>
        <w:t>TDD and FDD for FR1.</w:t>
      </w:r>
    </w:p>
    <w:p w14:paraId="36C2F703" w14:textId="77777777" w:rsidR="00016C55" w:rsidRPr="00016C55" w:rsidRDefault="00016C55" w:rsidP="00016C55">
      <w:pPr>
        <w:numPr>
          <w:ilvl w:val="1"/>
          <w:numId w:val="35"/>
        </w:numPr>
        <w:autoSpaceDE/>
        <w:adjustRightInd/>
        <w:snapToGrid/>
        <w:spacing w:before="120" w:line="276" w:lineRule="auto"/>
        <w:ind w:hanging="357"/>
        <w:rPr>
          <w:color w:val="002060"/>
          <w:lang w:eastAsia="zh-CN"/>
        </w:rPr>
      </w:pPr>
      <w:r w:rsidRPr="00016C55">
        <w:rPr>
          <w:color w:val="002060"/>
          <w:lang w:eastAsia="zh-CN"/>
        </w:rPr>
        <w:t xml:space="preserve">VoIP and </w:t>
      </w:r>
      <w:proofErr w:type="spellStart"/>
      <w:r w:rsidRPr="00016C55">
        <w:rPr>
          <w:color w:val="002060"/>
          <w:lang w:eastAsia="zh-CN"/>
        </w:rPr>
        <w:t>eMBB</w:t>
      </w:r>
      <w:proofErr w:type="spellEnd"/>
      <w:r w:rsidRPr="00016C55">
        <w:rPr>
          <w:color w:val="002060"/>
          <w:lang w:eastAsia="zh-CN"/>
        </w:rPr>
        <w:t xml:space="preserve"> service for FR1.</w:t>
      </w:r>
    </w:p>
    <w:p w14:paraId="708AFBA3" w14:textId="77777777" w:rsidR="00016C55" w:rsidRPr="00016C55" w:rsidRDefault="00016C55" w:rsidP="00016C55">
      <w:pPr>
        <w:numPr>
          <w:ilvl w:val="1"/>
          <w:numId w:val="35"/>
        </w:numPr>
        <w:autoSpaceDE/>
        <w:adjustRightInd/>
        <w:snapToGrid/>
        <w:spacing w:before="120" w:line="276" w:lineRule="auto"/>
        <w:ind w:hanging="357"/>
        <w:rPr>
          <w:color w:val="B4C6E7" w:themeColor="accent5" w:themeTint="66"/>
          <w:lang w:eastAsia="zh-CN"/>
        </w:rPr>
      </w:pPr>
      <w:proofErr w:type="spellStart"/>
      <w:r w:rsidRPr="00016C55">
        <w:rPr>
          <w:color w:val="B4C6E7" w:themeColor="accent5" w:themeTint="66"/>
          <w:lang w:eastAsia="zh-CN"/>
        </w:rPr>
        <w:t>eMBB</w:t>
      </w:r>
      <w:proofErr w:type="spellEnd"/>
      <w:r w:rsidRPr="00016C55">
        <w:rPr>
          <w:color w:val="B4C6E7" w:themeColor="accent5" w:themeTint="66"/>
          <w:lang w:eastAsia="zh-CN"/>
        </w:rPr>
        <w:t xml:space="preserve"> service as </w:t>
      </w:r>
      <w:proofErr w:type="gramStart"/>
      <w:r w:rsidRPr="00016C55">
        <w:rPr>
          <w:color w:val="B4C6E7" w:themeColor="accent5" w:themeTint="66"/>
          <w:lang w:eastAsia="zh-CN"/>
        </w:rPr>
        <w:t>first priority</w:t>
      </w:r>
      <w:proofErr w:type="gramEnd"/>
      <w:r w:rsidRPr="00016C55">
        <w:rPr>
          <w:color w:val="B4C6E7" w:themeColor="accent5" w:themeTint="66"/>
          <w:lang w:eastAsia="zh-CN"/>
        </w:rPr>
        <w:t xml:space="preserve"> and VoIP as second priority for FR2.</w:t>
      </w:r>
    </w:p>
    <w:p w14:paraId="1EE49C58" w14:textId="77777777" w:rsidR="00016C55" w:rsidRPr="00016C55" w:rsidRDefault="00016C55" w:rsidP="00016C55">
      <w:pPr>
        <w:numPr>
          <w:ilvl w:val="1"/>
          <w:numId w:val="35"/>
        </w:numPr>
        <w:autoSpaceDE/>
        <w:adjustRightInd/>
        <w:snapToGrid/>
        <w:spacing w:before="120" w:line="276" w:lineRule="auto"/>
        <w:ind w:hanging="357"/>
        <w:rPr>
          <w:color w:val="002060"/>
          <w:lang w:eastAsia="zh-CN"/>
        </w:rPr>
      </w:pPr>
      <w:r w:rsidRPr="00016C55">
        <w:rPr>
          <w:color w:val="002060"/>
          <w:lang w:eastAsia="zh-CN"/>
        </w:rPr>
        <w:t>LPWA services and scenarios are not included.</w:t>
      </w:r>
    </w:p>
    <w:p w14:paraId="434EA6D2" w14:textId="77777777" w:rsidR="00016C55" w:rsidRPr="00016C55" w:rsidRDefault="00016C55" w:rsidP="00016C55">
      <w:pPr>
        <w:numPr>
          <w:ilvl w:val="0"/>
          <w:numId w:val="35"/>
        </w:numPr>
        <w:autoSpaceDE/>
        <w:adjustRightInd/>
        <w:snapToGrid/>
        <w:spacing w:before="120" w:line="276" w:lineRule="auto"/>
        <w:ind w:hanging="357"/>
        <w:rPr>
          <w:color w:val="002060"/>
          <w:lang w:eastAsia="zh-CN"/>
        </w:rPr>
      </w:pPr>
      <w:r w:rsidRPr="00016C55">
        <w:rPr>
          <w:color w:val="002060"/>
          <w:lang w:eastAsia="zh-CN"/>
        </w:rPr>
        <w:t>Identify baseline coverage performance for both DL and UL for the above scenarios and services based on link-level simulation</w:t>
      </w:r>
    </w:p>
    <w:p w14:paraId="3B62B1BD" w14:textId="77777777" w:rsidR="00016C55" w:rsidRPr="00016C55" w:rsidRDefault="00016C55" w:rsidP="00016C55">
      <w:pPr>
        <w:numPr>
          <w:ilvl w:val="1"/>
          <w:numId w:val="35"/>
        </w:numPr>
        <w:autoSpaceDE/>
        <w:adjustRightInd/>
        <w:snapToGrid/>
        <w:spacing w:before="120" w:line="276" w:lineRule="auto"/>
        <w:rPr>
          <w:color w:val="002060"/>
          <w:lang w:eastAsia="zh-CN"/>
        </w:rPr>
      </w:pPr>
      <w:r w:rsidRPr="00016C55">
        <w:rPr>
          <w:color w:val="002060"/>
          <w:lang w:eastAsia="zh-CN"/>
        </w:rPr>
        <w:t>UL channels (</w:t>
      </w:r>
      <w:r w:rsidRPr="00016C55">
        <w:rPr>
          <w:rFonts w:eastAsia="Malgun Gothic"/>
          <w:color w:val="002060"/>
          <w:lang w:eastAsia="ko-KR"/>
        </w:rPr>
        <w:t>including PUSCH and PUCCH</w:t>
      </w:r>
      <w:r w:rsidRPr="00016C55">
        <w:rPr>
          <w:color w:val="002060"/>
          <w:lang w:eastAsia="zh-CN"/>
        </w:rPr>
        <w:t>) are prioritized for FR1.</w:t>
      </w:r>
    </w:p>
    <w:p w14:paraId="54496545" w14:textId="77777777" w:rsidR="00016C55" w:rsidRPr="00016C55" w:rsidRDefault="00016C55" w:rsidP="00016C55">
      <w:pPr>
        <w:numPr>
          <w:ilvl w:val="1"/>
          <w:numId w:val="35"/>
        </w:numPr>
        <w:autoSpaceDE/>
        <w:adjustRightInd/>
        <w:snapToGrid/>
        <w:spacing w:before="120" w:line="276" w:lineRule="auto"/>
        <w:rPr>
          <w:color w:val="B4C6E7" w:themeColor="accent5" w:themeTint="66"/>
          <w:lang w:eastAsia="zh-CN"/>
        </w:rPr>
      </w:pPr>
      <w:r w:rsidRPr="00016C55">
        <w:rPr>
          <w:color w:val="B4C6E7" w:themeColor="accent5" w:themeTint="66"/>
          <w:lang w:eastAsia="zh-CN"/>
        </w:rPr>
        <w:t>Both DL and UL channels for FR2.</w:t>
      </w:r>
    </w:p>
    <w:p w14:paraId="1EBED818" w14:textId="77777777" w:rsidR="00016C55" w:rsidRPr="00016C55" w:rsidRDefault="00016C55" w:rsidP="00016C55">
      <w:pPr>
        <w:numPr>
          <w:ilvl w:val="0"/>
          <w:numId w:val="35"/>
        </w:numPr>
        <w:autoSpaceDE/>
        <w:adjustRightInd/>
        <w:snapToGrid/>
        <w:spacing w:before="120" w:line="276" w:lineRule="auto"/>
        <w:ind w:hanging="357"/>
        <w:rPr>
          <w:color w:val="002060"/>
          <w:lang w:eastAsia="zh-CN"/>
        </w:rPr>
      </w:pPr>
      <w:r w:rsidRPr="00016C55">
        <w:rPr>
          <w:color w:val="002060"/>
          <w:lang w:eastAsia="zh-CN"/>
        </w:rPr>
        <w:t>Identify the performance target for coverage enhancement, and study the potential solutions for coverage enhancements for the above scenarios and services</w:t>
      </w:r>
    </w:p>
    <w:p w14:paraId="1A74C3E6" w14:textId="77777777" w:rsidR="00016C55" w:rsidRPr="00016C55" w:rsidRDefault="00016C55" w:rsidP="00016C55">
      <w:pPr>
        <w:numPr>
          <w:ilvl w:val="1"/>
          <w:numId w:val="35"/>
        </w:numPr>
        <w:autoSpaceDE/>
        <w:adjustRightInd/>
        <w:snapToGrid/>
        <w:spacing w:before="120" w:line="276" w:lineRule="auto"/>
        <w:rPr>
          <w:color w:val="002060"/>
          <w:lang w:eastAsia="zh-CN"/>
        </w:rPr>
      </w:pPr>
      <w:r w:rsidRPr="00016C55">
        <w:rPr>
          <w:color w:val="002060"/>
          <w:lang w:eastAsia="zh-CN"/>
        </w:rPr>
        <w:t xml:space="preserve">The target channels include at least PUSCH/PUCCH </w:t>
      </w:r>
    </w:p>
    <w:p w14:paraId="0C8C045B" w14:textId="77777777" w:rsidR="00016C55" w:rsidRPr="00016C55" w:rsidRDefault="00016C55" w:rsidP="00016C55">
      <w:pPr>
        <w:numPr>
          <w:ilvl w:val="1"/>
          <w:numId w:val="35"/>
        </w:numPr>
        <w:autoSpaceDE/>
        <w:adjustRightInd/>
        <w:snapToGrid/>
        <w:spacing w:before="120" w:line="276" w:lineRule="auto"/>
        <w:rPr>
          <w:color w:val="002060"/>
          <w:lang w:eastAsia="zh-CN"/>
        </w:rPr>
      </w:pPr>
      <w:r w:rsidRPr="00016C55">
        <w:rPr>
          <w:color w:val="002060"/>
          <w:lang w:eastAsia="zh-CN"/>
        </w:rPr>
        <w:t>Study enhanced solutions, e.g., time domain/frequency domain/DM-RS enhancement (including DM-RS-less transmissions)</w:t>
      </w:r>
    </w:p>
    <w:p w14:paraId="728FDA91" w14:textId="77777777" w:rsidR="00016C55" w:rsidRPr="00016C55" w:rsidRDefault="00016C55" w:rsidP="00016C55">
      <w:pPr>
        <w:numPr>
          <w:ilvl w:val="1"/>
          <w:numId w:val="35"/>
        </w:numPr>
        <w:autoSpaceDE/>
        <w:adjustRightInd/>
        <w:snapToGrid/>
        <w:spacing w:before="120" w:line="276" w:lineRule="auto"/>
        <w:rPr>
          <w:color w:val="B4C6E7" w:themeColor="accent5" w:themeTint="66"/>
          <w:lang w:eastAsia="zh-CN"/>
        </w:rPr>
      </w:pPr>
      <w:r w:rsidRPr="00016C55">
        <w:rPr>
          <w:color w:val="B4C6E7" w:themeColor="accent5" w:themeTint="66"/>
          <w:lang w:eastAsia="zh-CN"/>
        </w:rPr>
        <w:t>Study the additional enhanced solutions for FR2 if any</w:t>
      </w:r>
    </w:p>
    <w:p w14:paraId="13C0DFC5" w14:textId="77777777" w:rsidR="00016C55" w:rsidRPr="00016C55" w:rsidRDefault="00016C55" w:rsidP="00016C55">
      <w:pPr>
        <w:numPr>
          <w:ilvl w:val="1"/>
          <w:numId w:val="35"/>
        </w:numPr>
        <w:autoSpaceDE/>
        <w:adjustRightInd/>
        <w:snapToGrid/>
        <w:spacing w:before="120" w:line="276" w:lineRule="auto"/>
        <w:rPr>
          <w:color w:val="002060"/>
          <w:lang w:eastAsia="zh-CN"/>
        </w:rPr>
      </w:pPr>
      <w:r w:rsidRPr="00016C55">
        <w:rPr>
          <w:color w:val="002060"/>
          <w:lang w:eastAsia="zh-CN"/>
        </w:rPr>
        <w:t>Evaluate the performance of the potential solutions based on link level simulation.</w:t>
      </w:r>
    </w:p>
    <w:bookmarkEnd w:id="1"/>
    <w:p w14:paraId="5839F296" w14:textId="6FA25019" w:rsidR="003C05C3" w:rsidRPr="003C05C3" w:rsidRDefault="003C05C3" w:rsidP="003C05C3">
      <w:pPr>
        <w:ind w:right="-99"/>
        <w:rPr>
          <w:rFonts w:eastAsia="SimSun"/>
          <w:color w:val="0070C0"/>
          <w:lang w:eastAsia="ja-JP"/>
        </w:rPr>
      </w:pPr>
    </w:p>
    <w:bookmarkEnd w:id="2"/>
    <w:p w14:paraId="055742E2" w14:textId="7FAD9191" w:rsidR="000E55AC" w:rsidRDefault="000E55AC" w:rsidP="000A7089">
      <w:pPr>
        <w:autoSpaceDE/>
        <w:autoSpaceDN/>
        <w:adjustRightInd/>
        <w:snapToGrid/>
        <w:spacing w:after="240"/>
        <w:rPr>
          <w:color w:val="000000" w:themeColor="text1"/>
          <w:lang w:eastAsia="zh-CN"/>
        </w:rPr>
      </w:pPr>
    </w:p>
    <w:p w14:paraId="276DC189" w14:textId="0AFB615F" w:rsidR="004E044C" w:rsidRDefault="00016C55" w:rsidP="000A7089">
      <w:pPr>
        <w:autoSpaceDE/>
        <w:autoSpaceDN/>
        <w:adjustRightInd/>
        <w:snapToGrid/>
        <w:spacing w:after="240"/>
        <w:rPr>
          <w:color w:val="000000" w:themeColor="text1"/>
          <w:lang w:eastAsia="zh-CN"/>
        </w:rPr>
      </w:pPr>
      <w:r>
        <w:rPr>
          <w:color w:val="000000" w:themeColor="text1"/>
          <w:lang w:eastAsia="zh-CN"/>
        </w:rPr>
        <w:lastRenderedPageBreak/>
        <w:t xml:space="preserve">As a starting point to the study of NR coverage, RAN1 needs to agree </w:t>
      </w:r>
      <w:r w:rsidR="006C14B5">
        <w:rPr>
          <w:color w:val="000000" w:themeColor="text1"/>
          <w:lang w:eastAsia="zh-CN"/>
        </w:rPr>
        <w:t>on simulation assumptions, hence this document considers link level simulation assumptions that are appropriate for the coverage enhancement study in FR1.</w:t>
      </w:r>
    </w:p>
    <w:p w14:paraId="68D33321" w14:textId="084C3B31" w:rsidR="006C14B5" w:rsidRDefault="006C14B5" w:rsidP="000A7089">
      <w:pPr>
        <w:autoSpaceDE/>
        <w:autoSpaceDN/>
        <w:adjustRightInd/>
        <w:snapToGrid/>
        <w:spacing w:after="240"/>
        <w:rPr>
          <w:color w:val="000000" w:themeColor="text1"/>
          <w:lang w:eastAsia="zh-CN"/>
        </w:rPr>
      </w:pPr>
      <w:r>
        <w:rPr>
          <w:color w:val="000000" w:themeColor="text1"/>
          <w:lang w:eastAsia="zh-CN"/>
        </w:rPr>
        <w:t xml:space="preserve">This document also considers how coverage should be calculated in this study, basically boiling down to link level simulation to facilitate </w:t>
      </w:r>
      <w:r w:rsidR="008E4F13">
        <w:rPr>
          <w:color w:val="000000" w:themeColor="text1"/>
          <w:lang w:eastAsia="zh-CN"/>
        </w:rPr>
        <w:t>calculation of a hardware link budget</w:t>
      </w:r>
      <w:r>
        <w:rPr>
          <w:color w:val="000000" w:themeColor="text1"/>
          <w:lang w:eastAsia="zh-CN"/>
        </w:rPr>
        <w:t xml:space="preserve"> for relevant NR channels and signals.</w:t>
      </w:r>
    </w:p>
    <w:p w14:paraId="5845BC6F" w14:textId="3A0B9893" w:rsidR="002028DC" w:rsidRDefault="002028DC" w:rsidP="000A7089">
      <w:pPr>
        <w:autoSpaceDE/>
        <w:autoSpaceDN/>
        <w:adjustRightInd/>
        <w:snapToGrid/>
        <w:spacing w:after="240"/>
        <w:rPr>
          <w:color w:val="000000" w:themeColor="text1"/>
          <w:lang w:eastAsia="zh-CN"/>
        </w:rPr>
      </w:pPr>
    </w:p>
    <w:p w14:paraId="2D2FA012" w14:textId="588A538B" w:rsidR="003D0455" w:rsidRPr="006C14B5" w:rsidRDefault="003D0455" w:rsidP="003D0455">
      <w:pPr>
        <w:pStyle w:val="Heading1"/>
        <w:rPr>
          <w:lang w:eastAsia="zh-CN"/>
        </w:rPr>
      </w:pPr>
      <w:r>
        <w:rPr>
          <w:lang w:eastAsia="zh-CN"/>
        </w:rPr>
        <w:t xml:space="preserve">Observations on link budget from IMT-2020 </w:t>
      </w:r>
      <w:proofErr w:type="spellStart"/>
      <w:r>
        <w:rPr>
          <w:lang w:eastAsia="zh-CN"/>
        </w:rPr>
        <w:t>self evaluation</w:t>
      </w:r>
      <w:proofErr w:type="spellEnd"/>
    </w:p>
    <w:p w14:paraId="66A3F6D6" w14:textId="0E7FE27A" w:rsidR="00A51B48" w:rsidRDefault="003D0455" w:rsidP="003D0455">
      <w:pPr>
        <w:spacing w:after="240"/>
        <w:rPr>
          <w:lang w:eastAsia="zh-CN"/>
        </w:rPr>
      </w:pPr>
      <w:r>
        <w:rPr>
          <w:lang w:val="en-GB"/>
        </w:rPr>
        <w:t xml:space="preserve">The IMT-2020 self-evaluation study provided link budgets </w:t>
      </w:r>
      <w:r w:rsidR="00A51B48">
        <w:rPr>
          <w:lang w:val="en-GB"/>
        </w:rPr>
        <w:t>for NR in various deployment scenarios for PDSCH, PDCCH, PUSCH and PUCCH</w:t>
      </w:r>
      <w:r>
        <w:rPr>
          <w:lang w:val="en-GB"/>
        </w:rPr>
        <w:t>.</w:t>
      </w:r>
      <w:r w:rsidR="00A51B48">
        <w:rPr>
          <w:lang w:val="en-GB"/>
        </w:rPr>
        <w:t xml:space="preserve"> These link budgets are provided in TR37.910 </w:t>
      </w:r>
      <w:r w:rsidR="00A51B48">
        <w:rPr>
          <w:lang w:val="en-GB"/>
        </w:rPr>
        <w:fldChar w:fldCharType="begin"/>
      </w:r>
      <w:r w:rsidR="00A51B48">
        <w:rPr>
          <w:lang w:val="en-GB"/>
        </w:rPr>
        <w:instrText xml:space="preserve"> REF _Ref40133459 \r \h </w:instrText>
      </w:r>
      <w:r w:rsidR="00A51B48">
        <w:rPr>
          <w:lang w:val="en-GB"/>
        </w:rPr>
      </w:r>
      <w:r w:rsidR="00A51B48">
        <w:rPr>
          <w:lang w:val="en-GB"/>
        </w:rPr>
        <w:fldChar w:fldCharType="separate"/>
      </w:r>
      <w:r w:rsidR="00A51B48">
        <w:rPr>
          <w:lang w:val="en-GB"/>
        </w:rPr>
        <w:t>[3]</w:t>
      </w:r>
      <w:r w:rsidR="00A51B48">
        <w:rPr>
          <w:lang w:val="en-GB"/>
        </w:rPr>
        <w:fldChar w:fldCharType="end"/>
      </w:r>
      <w:r w:rsidR="00A51B48">
        <w:rPr>
          <w:lang w:val="en-GB"/>
        </w:rPr>
        <w:t xml:space="preserve"> (file </w:t>
      </w:r>
      <w:r w:rsidR="00A51B48" w:rsidRPr="00AB10AC">
        <w:rPr>
          <w:lang w:eastAsia="zh-CN"/>
        </w:rPr>
        <w:t>C.2_LinkBudgetTemplate</w:t>
      </w:r>
      <w:r w:rsidR="00A51B48" w:rsidRPr="00AB10AC">
        <w:rPr>
          <w:rFonts w:hint="eastAsia"/>
          <w:lang w:eastAsia="zh-CN"/>
        </w:rPr>
        <w:t>.zip</w:t>
      </w:r>
      <w:r w:rsidR="00A51B48" w:rsidRPr="00AB10AC">
        <w:rPr>
          <w:lang w:eastAsia="zh-CN"/>
        </w:rPr>
        <w:t>)</w:t>
      </w:r>
      <w:r w:rsidR="00A51B48">
        <w:rPr>
          <w:lang w:eastAsia="zh-CN"/>
        </w:rPr>
        <w:t xml:space="preserve">. </w:t>
      </w:r>
      <w:r w:rsidR="00A47FFA">
        <w:rPr>
          <w:lang w:eastAsia="zh-CN"/>
        </w:rPr>
        <w:fldChar w:fldCharType="begin"/>
      </w:r>
      <w:r w:rsidR="00A47FFA">
        <w:rPr>
          <w:lang w:eastAsia="zh-CN"/>
        </w:rPr>
        <w:instrText xml:space="preserve"> REF _Ref40181352 \h </w:instrText>
      </w:r>
      <w:r w:rsidR="00A47FFA">
        <w:rPr>
          <w:lang w:eastAsia="zh-CN"/>
        </w:rPr>
      </w:r>
      <w:r w:rsidR="00A47FFA">
        <w:rPr>
          <w:lang w:eastAsia="zh-CN"/>
        </w:rPr>
        <w:fldChar w:fldCharType="separate"/>
      </w:r>
      <w:r w:rsidR="00A47FFA">
        <w:t xml:space="preserve">Table </w:t>
      </w:r>
      <w:r w:rsidR="00A47FFA">
        <w:rPr>
          <w:noProof/>
        </w:rPr>
        <w:t>1</w:t>
      </w:r>
      <w:r w:rsidR="00A47FFA">
        <w:rPr>
          <w:lang w:eastAsia="zh-CN"/>
        </w:rPr>
        <w:fldChar w:fldCharType="end"/>
      </w:r>
      <w:r w:rsidR="00A51B48">
        <w:rPr>
          <w:lang w:eastAsia="zh-CN"/>
        </w:rPr>
        <w:t xml:space="preserve"> details the differences in hardware link budgets between the </w:t>
      </w:r>
      <w:r w:rsidR="00A47FFA">
        <w:rPr>
          <w:lang w:eastAsia="zh-CN"/>
        </w:rPr>
        <w:t xml:space="preserve">data / control </w:t>
      </w:r>
      <w:r w:rsidR="00A51B48">
        <w:rPr>
          <w:lang w:eastAsia="zh-CN"/>
        </w:rPr>
        <w:t>channels in various deployment scenarios and system configurations.</w:t>
      </w:r>
      <w:r w:rsidR="00A47FFA">
        <w:rPr>
          <w:lang w:eastAsia="zh-CN"/>
        </w:rPr>
        <w:t xml:space="preserve"> The results for NLOS channels are summarized in this table. In the “PUSCH-PDSCH </w:t>
      </w:r>
      <w:proofErr w:type="spellStart"/>
      <w:r w:rsidR="00A47FFA">
        <w:rPr>
          <w:lang w:eastAsia="zh-CN"/>
        </w:rPr>
        <w:t>imbal</w:t>
      </w:r>
      <w:proofErr w:type="spellEnd"/>
      <w:r w:rsidR="00A47FFA">
        <w:rPr>
          <w:lang w:eastAsia="zh-CN"/>
        </w:rPr>
        <w:t xml:space="preserve">.” common, a negative value </w:t>
      </w:r>
      <w:r w:rsidR="004C0F10">
        <w:rPr>
          <w:lang w:eastAsia="zh-CN"/>
        </w:rPr>
        <w:t xml:space="preserve">(pink) </w:t>
      </w:r>
      <w:r w:rsidR="00A47FFA">
        <w:rPr>
          <w:lang w:eastAsia="zh-CN"/>
        </w:rPr>
        <w:t>indicates that PUSCH performance is worse than PDSCH performance</w:t>
      </w:r>
      <w:r w:rsidR="004C0F10">
        <w:rPr>
          <w:lang w:eastAsia="zh-CN"/>
        </w:rPr>
        <w:t>, whereas a positive value (green) indicates that PUSCH performance is superior to PDSCH performance</w:t>
      </w:r>
      <w:r w:rsidR="00A47FFA">
        <w:rPr>
          <w:lang w:eastAsia="zh-CN"/>
        </w:rPr>
        <w:t>.</w:t>
      </w:r>
    </w:p>
    <w:p w14:paraId="6AE3DCF1" w14:textId="226D2472" w:rsidR="00A47FFA" w:rsidRDefault="00A47FFA" w:rsidP="00A47FFA">
      <w:pPr>
        <w:pStyle w:val="Caption"/>
        <w:jc w:val="center"/>
        <w:rPr>
          <w:lang w:eastAsia="zh-CN"/>
        </w:rPr>
      </w:pPr>
      <w:bookmarkStart w:id="3" w:name="_Ref40181352"/>
      <w:r>
        <w:t xml:space="preserve">Table </w:t>
      </w:r>
      <w:r>
        <w:fldChar w:fldCharType="begin"/>
      </w:r>
      <w:r>
        <w:instrText xml:space="preserve"> SEQ Table \* ARABIC </w:instrText>
      </w:r>
      <w:r>
        <w:fldChar w:fldCharType="separate"/>
      </w:r>
      <w:r w:rsidR="003E6854">
        <w:rPr>
          <w:noProof/>
        </w:rPr>
        <w:t>1</w:t>
      </w:r>
      <w:r>
        <w:fldChar w:fldCharType="end"/>
      </w:r>
      <w:bookmarkEnd w:id="3"/>
      <w:r>
        <w:t xml:space="preserve"> - Imbalance between UL and DL link budgets from IMT-2020 </w:t>
      </w:r>
      <w:proofErr w:type="spellStart"/>
      <w:r>
        <w:t>self evaluation</w:t>
      </w:r>
      <w:proofErr w:type="spellEnd"/>
      <w:r>
        <w:t xml:space="preserve"> study</w:t>
      </w:r>
    </w:p>
    <w:tbl>
      <w:tblPr>
        <w:tblStyle w:val="TableGrid"/>
        <w:tblW w:w="9538" w:type="dxa"/>
        <w:tblLook w:val="04A0" w:firstRow="1" w:lastRow="0" w:firstColumn="1" w:lastColumn="0" w:noHBand="0" w:noVBand="1"/>
      </w:tblPr>
      <w:tblGrid>
        <w:gridCol w:w="1409"/>
        <w:gridCol w:w="1765"/>
        <w:gridCol w:w="917"/>
        <w:gridCol w:w="918"/>
        <w:gridCol w:w="928"/>
        <w:gridCol w:w="928"/>
        <w:gridCol w:w="2673"/>
      </w:tblGrid>
      <w:tr w:rsidR="00A47FFA" w14:paraId="1746FA7C" w14:textId="5FD52F30" w:rsidTr="004C0F10">
        <w:tc>
          <w:tcPr>
            <w:tcW w:w="1409" w:type="dxa"/>
            <w:shd w:val="clear" w:color="auto" w:fill="BFBFBF" w:themeFill="background1" w:themeFillShade="BF"/>
          </w:tcPr>
          <w:p w14:paraId="47CE4F92" w14:textId="73B86328" w:rsidR="00A47FFA" w:rsidRPr="00A47FFA" w:rsidRDefault="00A47FFA" w:rsidP="00A47FFA">
            <w:pPr>
              <w:spacing w:after="0"/>
              <w:rPr>
                <w:rFonts w:ascii="Arial" w:hAnsi="Arial" w:cs="Arial"/>
                <w:b/>
                <w:sz w:val="20"/>
                <w:szCs w:val="20"/>
                <w:lang w:eastAsia="zh-CN"/>
              </w:rPr>
            </w:pPr>
            <w:r w:rsidRPr="00A47FFA">
              <w:rPr>
                <w:rFonts w:ascii="Arial" w:hAnsi="Arial" w:cs="Arial"/>
                <w:b/>
                <w:sz w:val="20"/>
                <w:szCs w:val="20"/>
                <w:lang w:eastAsia="zh-CN"/>
              </w:rPr>
              <w:t>scenario</w:t>
            </w:r>
          </w:p>
        </w:tc>
        <w:tc>
          <w:tcPr>
            <w:tcW w:w="1765" w:type="dxa"/>
            <w:shd w:val="clear" w:color="auto" w:fill="BFBFBF" w:themeFill="background1" w:themeFillShade="BF"/>
          </w:tcPr>
          <w:p w14:paraId="50CF63D7" w14:textId="37009B87" w:rsidR="00A47FFA" w:rsidRPr="00A47FFA" w:rsidRDefault="00A47FFA" w:rsidP="00A47FFA">
            <w:pPr>
              <w:spacing w:after="0"/>
              <w:rPr>
                <w:rFonts w:ascii="Arial" w:hAnsi="Arial" w:cs="Arial"/>
                <w:b/>
                <w:sz w:val="20"/>
                <w:szCs w:val="20"/>
                <w:lang w:eastAsia="zh-CN"/>
              </w:rPr>
            </w:pPr>
            <w:r w:rsidRPr="00A47FFA">
              <w:rPr>
                <w:rFonts w:ascii="Arial" w:hAnsi="Arial" w:cs="Arial"/>
                <w:b/>
                <w:sz w:val="20"/>
                <w:szCs w:val="20"/>
                <w:lang w:eastAsia="zh-CN"/>
              </w:rPr>
              <w:t>Duplex config</w:t>
            </w:r>
          </w:p>
        </w:tc>
        <w:tc>
          <w:tcPr>
            <w:tcW w:w="917" w:type="dxa"/>
            <w:shd w:val="clear" w:color="auto" w:fill="BFBFBF" w:themeFill="background1" w:themeFillShade="BF"/>
          </w:tcPr>
          <w:p w14:paraId="3F360ABE" w14:textId="06EFCB84" w:rsidR="00A47FFA" w:rsidRPr="00A47FFA" w:rsidRDefault="00A47FFA" w:rsidP="00A47FFA">
            <w:pPr>
              <w:spacing w:after="0"/>
              <w:rPr>
                <w:rFonts w:ascii="Arial" w:hAnsi="Arial" w:cs="Arial"/>
                <w:b/>
                <w:sz w:val="20"/>
                <w:szCs w:val="20"/>
                <w:lang w:eastAsia="zh-CN"/>
              </w:rPr>
            </w:pPr>
            <w:r w:rsidRPr="00A47FFA">
              <w:rPr>
                <w:rFonts w:ascii="Arial" w:hAnsi="Arial" w:cs="Arial"/>
                <w:b/>
                <w:sz w:val="20"/>
                <w:szCs w:val="20"/>
                <w:lang w:eastAsia="zh-CN"/>
              </w:rPr>
              <w:t>PDSCH</w:t>
            </w:r>
          </w:p>
        </w:tc>
        <w:tc>
          <w:tcPr>
            <w:tcW w:w="918" w:type="dxa"/>
            <w:shd w:val="clear" w:color="auto" w:fill="BFBFBF" w:themeFill="background1" w:themeFillShade="BF"/>
          </w:tcPr>
          <w:p w14:paraId="7E6B034B" w14:textId="5ABF3B9F" w:rsidR="00A47FFA" w:rsidRPr="00A47FFA" w:rsidRDefault="00A47FFA" w:rsidP="00A47FFA">
            <w:pPr>
              <w:spacing w:after="0"/>
              <w:rPr>
                <w:rFonts w:ascii="Arial" w:hAnsi="Arial" w:cs="Arial"/>
                <w:b/>
                <w:sz w:val="20"/>
                <w:szCs w:val="20"/>
                <w:lang w:eastAsia="zh-CN"/>
              </w:rPr>
            </w:pPr>
            <w:r w:rsidRPr="00A47FFA">
              <w:rPr>
                <w:rFonts w:ascii="Arial" w:hAnsi="Arial" w:cs="Arial"/>
                <w:b/>
                <w:sz w:val="20"/>
                <w:szCs w:val="20"/>
                <w:lang w:eastAsia="zh-CN"/>
              </w:rPr>
              <w:t>PUSCH</w:t>
            </w:r>
          </w:p>
        </w:tc>
        <w:tc>
          <w:tcPr>
            <w:tcW w:w="928" w:type="dxa"/>
            <w:shd w:val="clear" w:color="auto" w:fill="BFBFBF" w:themeFill="background1" w:themeFillShade="BF"/>
          </w:tcPr>
          <w:p w14:paraId="4CAC53BE" w14:textId="7DAAD1F0" w:rsidR="00A47FFA" w:rsidRPr="00A47FFA" w:rsidRDefault="00A47FFA" w:rsidP="00A47FFA">
            <w:pPr>
              <w:spacing w:after="0"/>
              <w:rPr>
                <w:rFonts w:ascii="Arial" w:hAnsi="Arial" w:cs="Arial"/>
                <w:b/>
                <w:sz w:val="20"/>
                <w:szCs w:val="20"/>
                <w:lang w:eastAsia="zh-CN"/>
              </w:rPr>
            </w:pPr>
            <w:r w:rsidRPr="00A47FFA">
              <w:rPr>
                <w:rFonts w:ascii="Arial" w:hAnsi="Arial" w:cs="Arial"/>
                <w:b/>
                <w:sz w:val="20"/>
                <w:szCs w:val="20"/>
                <w:lang w:eastAsia="zh-CN"/>
              </w:rPr>
              <w:t>PDCCH</w:t>
            </w:r>
          </w:p>
        </w:tc>
        <w:tc>
          <w:tcPr>
            <w:tcW w:w="928" w:type="dxa"/>
            <w:shd w:val="clear" w:color="auto" w:fill="BFBFBF" w:themeFill="background1" w:themeFillShade="BF"/>
          </w:tcPr>
          <w:p w14:paraId="2DBCA3D0" w14:textId="6B8129A4" w:rsidR="00A47FFA" w:rsidRPr="00A47FFA" w:rsidRDefault="00A47FFA" w:rsidP="00A47FFA">
            <w:pPr>
              <w:spacing w:after="0"/>
              <w:rPr>
                <w:rFonts w:ascii="Arial" w:hAnsi="Arial" w:cs="Arial"/>
                <w:b/>
                <w:sz w:val="20"/>
                <w:szCs w:val="20"/>
                <w:lang w:eastAsia="zh-CN"/>
              </w:rPr>
            </w:pPr>
            <w:r w:rsidRPr="00A47FFA">
              <w:rPr>
                <w:rFonts w:ascii="Arial" w:hAnsi="Arial" w:cs="Arial"/>
                <w:b/>
                <w:sz w:val="20"/>
                <w:szCs w:val="20"/>
                <w:lang w:eastAsia="zh-CN"/>
              </w:rPr>
              <w:t>PUCCH</w:t>
            </w:r>
          </w:p>
        </w:tc>
        <w:tc>
          <w:tcPr>
            <w:tcW w:w="2673" w:type="dxa"/>
            <w:tcBorders>
              <w:bottom w:val="single" w:sz="4" w:space="0" w:color="auto"/>
            </w:tcBorders>
            <w:shd w:val="clear" w:color="auto" w:fill="BFBFBF" w:themeFill="background1" w:themeFillShade="BF"/>
          </w:tcPr>
          <w:p w14:paraId="10802E9D" w14:textId="24E8B43A" w:rsidR="00A47FFA" w:rsidRPr="00A47FFA" w:rsidRDefault="00A47FFA" w:rsidP="00A47FFA">
            <w:pPr>
              <w:spacing w:after="0"/>
              <w:rPr>
                <w:rFonts w:ascii="Arial" w:hAnsi="Arial" w:cs="Arial"/>
                <w:b/>
                <w:sz w:val="20"/>
                <w:szCs w:val="20"/>
                <w:lang w:eastAsia="zh-CN"/>
              </w:rPr>
            </w:pPr>
            <w:r w:rsidRPr="00A47FFA">
              <w:rPr>
                <w:rFonts w:ascii="Arial" w:hAnsi="Arial" w:cs="Arial"/>
                <w:b/>
                <w:sz w:val="20"/>
                <w:szCs w:val="20"/>
                <w:lang w:eastAsia="zh-CN"/>
              </w:rPr>
              <w:t xml:space="preserve">PUSCH-PDSCH </w:t>
            </w:r>
            <w:proofErr w:type="spellStart"/>
            <w:r w:rsidRPr="00A47FFA">
              <w:rPr>
                <w:rFonts w:ascii="Arial" w:hAnsi="Arial" w:cs="Arial"/>
                <w:b/>
                <w:sz w:val="20"/>
                <w:szCs w:val="20"/>
                <w:lang w:eastAsia="zh-CN"/>
              </w:rPr>
              <w:t>imbal</w:t>
            </w:r>
            <w:proofErr w:type="spellEnd"/>
            <w:r w:rsidRPr="00A47FFA">
              <w:rPr>
                <w:rFonts w:ascii="Arial" w:hAnsi="Arial" w:cs="Arial"/>
                <w:b/>
                <w:sz w:val="20"/>
                <w:szCs w:val="20"/>
                <w:lang w:eastAsia="zh-CN"/>
              </w:rPr>
              <w:t>.</w:t>
            </w:r>
          </w:p>
        </w:tc>
      </w:tr>
      <w:tr w:rsidR="00A47FFA" w14:paraId="61063ACC" w14:textId="2088FF46" w:rsidTr="004C0F10">
        <w:tc>
          <w:tcPr>
            <w:tcW w:w="1409" w:type="dxa"/>
          </w:tcPr>
          <w:p w14:paraId="19042A43" w14:textId="1D57861D" w:rsidR="00A47FFA" w:rsidRPr="00A51B48" w:rsidRDefault="00A47FFA" w:rsidP="00A47FFA">
            <w:pPr>
              <w:spacing w:after="0"/>
              <w:rPr>
                <w:rFonts w:ascii="Arial" w:hAnsi="Arial" w:cs="Arial"/>
                <w:sz w:val="20"/>
                <w:szCs w:val="20"/>
                <w:lang w:eastAsia="zh-CN"/>
              </w:rPr>
            </w:pPr>
            <w:proofErr w:type="spellStart"/>
            <w:r w:rsidRPr="00A51B48">
              <w:rPr>
                <w:rFonts w:ascii="Arial" w:hAnsi="Arial" w:cs="Arial"/>
                <w:sz w:val="20"/>
                <w:szCs w:val="20"/>
                <w:lang w:eastAsia="zh-CN"/>
              </w:rPr>
              <w:t>InH-eMBB</w:t>
            </w:r>
            <w:proofErr w:type="spellEnd"/>
          </w:p>
        </w:tc>
        <w:tc>
          <w:tcPr>
            <w:tcW w:w="1765" w:type="dxa"/>
          </w:tcPr>
          <w:p w14:paraId="4FD5FD31" w14:textId="6572D5A0"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DDDSU</w:t>
            </w:r>
          </w:p>
        </w:tc>
        <w:tc>
          <w:tcPr>
            <w:tcW w:w="917" w:type="dxa"/>
          </w:tcPr>
          <w:p w14:paraId="5F5F2B1F" w14:textId="043E9D00"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128dB</w:t>
            </w:r>
          </w:p>
        </w:tc>
        <w:tc>
          <w:tcPr>
            <w:tcW w:w="918" w:type="dxa"/>
          </w:tcPr>
          <w:p w14:paraId="0B399CE9" w14:textId="755F370C"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129dB</w:t>
            </w:r>
          </w:p>
        </w:tc>
        <w:tc>
          <w:tcPr>
            <w:tcW w:w="928" w:type="dxa"/>
          </w:tcPr>
          <w:p w14:paraId="72F6FBB7" w14:textId="1D44CE97"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140dB</w:t>
            </w:r>
          </w:p>
        </w:tc>
        <w:tc>
          <w:tcPr>
            <w:tcW w:w="928" w:type="dxa"/>
          </w:tcPr>
          <w:p w14:paraId="27D5F0F4" w14:textId="56FFA7CA"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157dB</w:t>
            </w:r>
          </w:p>
        </w:tc>
        <w:tc>
          <w:tcPr>
            <w:tcW w:w="2673" w:type="dxa"/>
            <w:shd w:val="clear" w:color="auto" w:fill="C5E0B3" w:themeFill="accent6" w:themeFillTint="66"/>
          </w:tcPr>
          <w:p w14:paraId="42B5E9C9" w14:textId="392F91B8" w:rsidR="00A47FFA" w:rsidRDefault="004C0F10" w:rsidP="00A47FFA">
            <w:pPr>
              <w:spacing w:after="0"/>
              <w:rPr>
                <w:rFonts w:ascii="Arial" w:hAnsi="Arial" w:cs="Arial"/>
                <w:sz w:val="20"/>
                <w:szCs w:val="20"/>
                <w:lang w:eastAsia="zh-CN"/>
              </w:rPr>
            </w:pPr>
            <w:r>
              <w:rPr>
                <w:rFonts w:ascii="Arial" w:hAnsi="Arial" w:cs="Arial"/>
                <w:sz w:val="20"/>
                <w:szCs w:val="20"/>
                <w:lang w:eastAsia="zh-CN"/>
              </w:rPr>
              <w:t>+1dB</w:t>
            </w:r>
          </w:p>
        </w:tc>
      </w:tr>
      <w:tr w:rsidR="00A47FFA" w14:paraId="77518E52" w14:textId="57D69730" w:rsidTr="004C0F10">
        <w:tc>
          <w:tcPr>
            <w:tcW w:w="1409" w:type="dxa"/>
          </w:tcPr>
          <w:p w14:paraId="470A8B96" w14:textId="06F99D3B" w:rsidR="00A47FFA" w:rsidRPr="00A51B48" w:rsidRDefault="00A47FFA" w:rsidP="00A47FFA">
            <w:pPr>
              <w:spacing w:after="0"/>
              <w:rPr>
                <w:rFonts w:ascii="Arial" w:hAnsi="Arial" w:cs="Arial"/>
                <w:sz w:val="20"/>
                <w:szCs w:val="20"/>
                <w:lang w:eastAsia="zh-CN"/>
              </w:rPr>
            </w:pPr>
            <w:proofErr w:type="spellStart"/>
            <w:r w:rsidRPr="00A51B48">
              <w:rPr>
                <w:rFonts w:ascii="Arial" w:hAnsi="Arial" w:cs="Arial"/>
                <w:sz w:val="20"/>
                <w:szCs w:val="20"/>
                <w:lang w:eastAsia="zh-CN"/>
              </w:rPr>
              <w:t>InH-eMBB</w:t>
            </w:r>
            <w:proofErr w:type="spellEnd"/>
          </w:p>
        </w:tc>
        <w:tc>
          <w:tcPr>
            <w:tcW w:w="1765" w:type="dxa"/>
          </w:tcPr>
          <w:p w14:paraId="7A99CD69" w14:textId="00524DCB"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DSUUD</w:t>
            </w:r>
          </w:p>
        </w:tc>
        <w:tc>
          <w:tcPr>
            <w:tcW w:w="917" w:type="dxa"/>
          </w:tcPr>
          <w:p w14:paraId="796A1FC4" w14:textId="0DA3835A"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127dB</w:t>
            </w:r>
          </w:p>
        </w:tc>
        <w:tc>
          <w:tcPr>
            <w:tcW w:w="918" w:type="dxa"/>
          </w:tcPr>
          <w:p w14:paraId="470E91E5" w14:textId="60CFC3F7"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130dB</w:t>
            </w:r>
          </w:p>
        </w:tc>
        <w:tc>
          <w:tcPr>
            <w:tcW w:w="928" w:type="dxa"/>
          </w:tcPr>
          <w:p w14:paraId="587D214E" w14:textId="73B627A2"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137dB</w:t>
            </w:r>
          </w:p>
        </w:tc>
        <w:tc>
          <w:tcPr>
            <w:tcW w:w="928" w:type="dxa"/>
          </w:tcPr>
          <w:p w14:paraId="141E5E68" w14:textId="6B8DFFD1"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158dB</w:t>
            </w:r>
          </w:p>
        </w:tc>
        <w:tc>
          <w:tcPr>
            <w:tcW w:w="2673" w:type="dxa"/>
            <w:shd w:val="clear" w:color="auto" w:fill="C5E0B3" w:themeFill="accent6" w:themeFillTint="66"/>
          </w:tcPr>
          <w:p w14:paraId="5E72FE1A" w14:textId="082719CF" w:rsidR="00A47FFA" w:rsidRDefault="004C0F10" w:rsidP="00A47FFA">
            <w:pPr>
              <w:spacing w:after="0"/>
              <w:rPr>
                <w:rFonts w:ascii="Arial" w:hAnsi="Arial" w:cs="Arial"/>
                <w:sz w:val="20"/>
                <w:szCs w:val="20"/>
                <w:lang w:eastAsia="zh-CN"/>
              </w:rPr>
            </w:pPr>
            <w:r>
              <w:rPr>
                <w:rFonts w:ascii="Arial" w:hAnsi="Arial" w:cs="Arial"/>
                <w:sz w:val="20"/>
                <w:szCs w:val="20"/>
                <w:lang w:eastAsia="zh-CN"/>
              </w:rPr>
              <w:t>+3dB</w:t>
            </w:r>
          </w:p>
        </w:tc>
      </w:tr>
      <w:tr w:rsidR="00A47FFA" w14:paraId="248300CF" w14:textId="7C8B1A56" w:rsidTr="004C0F10">
        <w:tc>
          <w:tcPr>
            <w:tcW w:w="1409" w:type="dxa"/>
          </w:tcPr>
          <w:p w14:paraId="0ECDE431" w14:textId="57696D86" w:rsidR="00A47FFA" w:rsidRPr="00A51B48" w:rsidRDefault="00A47FFA" w:rsidP="00A47FFA">
            <w:pPr>
              <w:spacing w:after="0"/>
              <w:rPr>
                <w:rFonts w:ascii="Arial" w:hAnsi="Arial" w:cs="Arial"/>
                <w:sz w:val="20"/>
                <w:szCs w:val="20"/>
                <w:lang w:eastAsia="zh-CN"/>
              </w:rPr>
            </w:pPr>
            <w:proofErr w:type="spellStart"/>
            <w:r w:rsidRPr="00A51B48">
              <w:rPr>
                <w:rFonts w:ascii="Arial" w:hAnsi="Arial" w:cs="Arial"/>
                <w:sz w:val="20"/>
                <w:szCs w:val="20"/>
                <w:lang w:eastAsia="zh-CN"/>
              </w:rPr>
              <w:t>InH-eMBB</w:t>
            </w:r>
            <w:proofErr w:type="spellEnd"/>
          </w:p>
        </w:tc>
        <w:tc>
          <w:tcPr>
            <w:tcW w:w="1765" w:type="dxa"/>
          </w:tcPr>
          <w:p w14:paraId="0BB7DDC8" w14:textId="22D59573"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DDDSU DDSUU</w:t>
            </w:r>
          </w:p>
        </w:tc>
        <w:tc>
          <w:tcPr>
            <w:tcW w:w="917" w:type="dxa"/>
          </w:tcPr>
          <w:p w14:paraId="27C3FB0E" w14:textId="182391A9"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126dB</w:t>
            </w:r>
          </w:p>
        </w:tc>
        <w:tc>
          <w:tcPr>
            <w:tcW w:w="918" w:type="dxa"/>
          </w:tcPr>
          <w:p w14:paraId="34746F13" w14:textId="1D9DB745"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133dB</w:t>
            </w:r>
          </w:p>
        </w:tc>
        <w:tc>
          <w:tcPr>
            <w:tcW w:w="928" w:type="dxa"/>
          </w:tcPr>
          <w:p w14:paraId="11EA7CF6" w14:textId="2E1B5535"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139dB</w:t>
            </w:r>
          </w:p>
        </w:tc>
        <w:tc>
          <w:tcPr>
            <w:tcW w:w="928" w:type="dxa"/>
          </w:tcPr>
          <w:p w14:paraId="25373C90" w14:textId="2C1DC823"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157dB</w:t>
            </w:r>
          </w:p>
        </w:tc>
        <w:tc>
          <w:tcPr>
            <w:tcW w:w="2673" w:type="dxa"/>
            <w:shd w:val="clear" w:color="auto" w:fill="C5E0B3" w:themeFill="accent6" w:themeFillTint="66"/>
          </w:tcPr>
          <w:p w14:paraId="7F7E4ED9" w14:textId="7783596A" w:rsidR="00A47FFA" w:rsidRDefault="004C0F10" w:rsidP="00A47FFA">
            <w:pPr>
              <w:spacing w:after="0"/>
              <w:rPr>
                <w:rFonts w:ascii="Arial" w:hAnsi="Arial" w:cs="Arial"/>
                <w:sz w:val="20"/>
                <w:szCs w:val="20"/>
                <w:lang w:eastAsia="zh-CN"/>
              </w:rPr>
            </w:pPr>
            <w:r>
              <w:rPr>
                <w:rFonts w:ascii="Arial" w:hAnsi="Arial" w:cs="Arial"/>
                <w:sz w:val="20"/>
                <w:szCs w:val="20"/>
                <w:lang w:eastAsia="zh-CN"/>
              </w:rPr>
              <w:t>+7dB</w:t>
            </w:r>
          </w:p>
        </w:tc>
      </w:tr>
      <w:tr w:rsidR="00A47FFA" w14:paraId="2C758317" w14:textId="2BA3D38B" w:rsidTr="004C0F10">
        <w:tc>
          <w:tcPr>
            <w:tcW w:w="1409" w:type="dxa"/>
          </w:tcPr>
          <w:p w14:paraId="50C2CBEE" w14:textId="029BA14C" w:rsidR="00A47FFA" w:rsidRPr="00A51B48" w:rsidRDefault="00A47FFA" w:rsidP="00A47FFA">
            <w:pPr>
              <w:spacing w:after="0"/>
              <w:rPr>
                <w:rFonts w:ascii="Arial" w:hAnsi="Arial" w:cs="Arial"/>
                <w:sz w:val="20"/>
                <w:szCs w:val="20"/>
                <w:lang w:eastAsia="zh-CN"/>
              </w:rPr>
            </w:pPr>
            <w:proofErr w:type="spellStart"/>
            <w:r w:rsidRPr="00A51B48">
              <w:rPr>
                <w:rFonts w:ascii="Arial" w:hAnsi="Arial" w:cs="Arial"/>
                <w:sz w:val="20"/>
                <w:szCs w:val="20"/>
                <w:lang w:eastAsia="zh-CN"/>
              </w:rPr>
              <w:t>InH-eMBB</w:t>
            </w:r>
            <w:proofErr w:type="spellEnd"/>
          </w:p>
        </w:tc>
        <w:tc>
          <w:tcPr>
            <w:tcW w:w="1765" w:type="dxa"/>
          </w:tcPr>
          <w:p w14:paraId="5C165548" w14:textId="5CA4B959"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DDDDD DDSUU</w:t>
            </w:r>
          </w:p>
        </w:tc>
        <w:tc>
          <w:tcPr>
            <w:tcW w:w="917" w:type="dxa"/>
          </w:tcPr>
          <w:p w14:paraId="5FD2939B" w14:textId="5B192B28"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128dB</w:t>
            </w:r>
          </w:p>
        </w:tc>
        <w:tc>
          <w:tcPr>
            <w:tcW w:w="918" w:type="dxa"/>
          </w:tcPr>
          <w:p w14:paraId="36E9E6C3" w14:textId="468C920E"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133dB</w:t>
            </w:r>
          </w:p>
        </w:tc>
        <w:tc>
          <w:tcPr>
            <w:tcW w:w="928" w:type="dxa"/>
          </w:tcPr>
          <w:p w14:paraId="0DA85471" w14:textId="69A0A6B2"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140dB</w:t>
            </w:r>
          </w:p>
        </w:tc>
        <w:tc>
          <w:tcPr>
            <w:tcW w:w="928" w:type="dxa"/>
          </w:tcPr>
          <w:p w14:paraId="1D619326" w14:textId="3CDC8C2B"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157dB</w:t>
            </w:r>
          </w:p>
        </w:tc>
        <w:tc>
          <w:tcPr>
            <w:tcW w:w="2673" w:type="dxa"/>
            <w:tcBorders>
              <w:bottom w:val="single" w:sz="4" w:space="0" w:color="auto"/>
            </w:tcBorders>
            <w:shd w:val="clear" w:color="auto" w:fill="C5E0B3" w:themeFill="accent6" w:themeFillTint="66"/>
          </w:tcPr>
          <w:p w14:paraId="46F746F3" w14:textId="18D5916F" w:rsidR="00A47FFA" w:rsidRDefault="004C0F10" w:rsidP="00A47FFA">
            <w:pPr>
              <w:spacing w:after="0"/>
              <w:rPr>
                <w:rFonts w:ascii="Arial" w:hAnsi="Arial" w:cs="Arial"/>
                <w:sz w:val="20"/>
                <w:szCs w:val="20"/>
                <w:lang w:eastAsia="zh-CN"/>
              </w:rPr>
            </w:pPr>
            <w:r>
              <w:rPr>
                <w:rFonts w:ascii="Arial" w:hAnsi="Arial" w:cs="Arial"/>
                <w:sz w:val="20"/>
                <w:szCs w:val="20"/>
                <w:lang w:eastAsia="zh-CN"/>
              </w:rPr>
              <w:t>+5dB</w:t>
            </w:r>
          </w:p>
        </w:tc>
      </w:tr>
      <w:tr w:rsidR="00A47FFA" w14:paraId="77234FD5" w14:textId="1769AEBF" w:rsidTr="004C0F10">
        <w:tc>
          <w:tcPr>
            <w:tcW w:w="1409" w:type="dxa"/>
          </w:tcPr>
          <w:p w14:paraId="3332E4C5" w14:textId="191069B3"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DU-</w:t>
            </w:r>
            <w:proofErr w:type="spellStart"/>
            <w:r>
              <w:rPr>
                <w:rFonts w:ascii="Arial" w:hAnsi="Arial" w:cs="Arial"/>
                <w:sz w:val="20"/>
                <w:szCs w:val="20"/>
                <w:lang w:eastAsia="zh-CN"/>
              </w:rPr>
              <w:t>eMBB</w:t>
            </w:r>
            <w:proofErr w:type="spellEnd"/>
          </w:p>
        </w:tc>
        <w:tc>
          <w:tcPr>
            <w:tcW w:w="1765" w:type="dxa"/>
          </w:tcPr>
          <w:p w14:paraId="427F241F" w14:textId="501467E6"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DDDSU</w:t>
            </w:r>
          </w:p>
        </w:tc>
        <w:tc>
          <w:tcPr>
            <w:tcW w:w="917" w:type="dxa"/>
          </w:tcPr>
          <w:p w14:paraId="229988D6" w14:textId="36FE4497"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161dB</w:t>
            </w:r>
          </w:p>
        </w:tc>
        <w:tc>
          <w:tcPr>
            <w:tcW w:w="918" w:type="dxa"/>
          </w:tcPr>
          <w:p w14:paraId="1D3054AA" w14:textId="19CC0193"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143dB</w:t>
            </w:r>
          </w:p>
        </w:tc>
        <w:tc>
          <w:tcPr>
            <w:tcW w:w="928" w:type="dxa"/>
          </w:tcPr>
          <w:p w14:paraId="063019F1" w14:textId="5327EFB4"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169dB</w:t>
            </w:r>
          </w:p>
        </w:tc>
        <w:tc>
          <w:tcPr>
            <w:tcW w:w="928" w:type="dxa"/>
          </w:tcPr>
          <w:p w14:paraId="544069A5" w14:textId="1D5ABDBE"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158dB</w:t>
            </w:r>
          </w:p>
        </w:tc>
        <w:tc>
          <w:tcPr>
            <w:tcW w:w="2673" w:type="dxa"/>
            <w:shd w:val="clear" w:color="auto" w:fill="FF99CC"/>
          </w:tcPr>
          <w:p w14:paraId="4C61A064" w14:textId="6CB5134E" w:rsidR="00A47FFA" w:rsidRDefault="004C0F10" w:rsidP="00A47FFA">
            <w:pPr>
              <w:spacing w:after="0"/>
              <w:rPr>
                <w:rFonts w:ascii="Arial" w:hAnsi="Arial" w:cs="Arial"/>
                <w:sz w:val="20"/>
                <w:szCs w:val="20"/>
                <w:lang w:eastAsia="zh-CN"/>
              </w:rPr>
            </w:pPr>
            <w:r>
              <w:rPr>
                <w:rFonts w:ascii="Arial" w:hAnsi="Arial" w:cs="Arial"/>
                <w:sz w:val="20"/>
                <w:szCs w:val="20"/>
                <w:lang w:eastAsia="zh-CN"/>
              </w:rPr>
              <w:t>-18dB</w:t>
            </w:r>
          </w:p>
        </w:tc>
      </w:tr>
      <w:tr w:rsidR="00A47FFA" w14:paraId="04826DE6" w14:textId="5852EF59" w:rsidTr="004C0F10">
        <w:tc>
          <w:tcPr>
            <w:tcW w:w="1409" w:type="dxa"/>
          </w:tcPr>
          <w:p w14:paraId="20BA9345" w14:textId="1BDD03AA"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DU-</w:t>
            </w:r>
            <w:proofErr w:type="spellStart"/>
            <w:r>
              <w:rPr>
                <w:rFonts w:ascii="Arial" w:hAnsi="Arial" w:cs="Arial"/>
                <w:sz w:val="20"/>
                <w:szCs w:val="20"/>
                <w:lang w:eastAsia="zh-CN"/>
              </w:rPr>
              <w:t>eMBB</w:t>
            </w:r>
            <w:proofErr w:type="spellEnd"/>
          </w:p>
        </w:tc>
        <w:tc>
          <w:tcPr>
            <w:tcW w:w="1765" w:type="dxa"/>
          </w:tcPr>
          <w:p w14:paraId="30B07F55" w14:textId="602DA37D"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DSUUD</w:t>
            </w:r>
          </w:p>
        </w:tc>
        <w:tc>
          <w:tcPr>
            <w:tcW w:w="917" w:type="dxa"/>
          </w:tcPr>
          <w:p w14:paraId="7E119B5E" w14:textId="4B06FABE"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161dB</w:t>
            </w:r>
          </w:p>
        </w:tc>
        <w:tc>
          <w:tcPr>
            <w:tcW w:w="918" w:type="dxa"/>
          </w:tcPr>
          <w:p w14:paraId="68221642" w14:textId="426519C0"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150dB</w:t>
            </w:r>
          </w:p>
        </w:tc>
        <w:tc>
          <w:tcPr>
            <w:tcW w:w="928" w:type="dxa"/>
          </w:tcPr>
          <w:p w14:paraId="42025574" w14:textId="3E239B97"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169dB</w:t>
            </w:r>
          </w:p>
        </w:tc>
        <w:tc>
          <w:tcPr>
            <w:tcW w:w="928" w:type="dxa"/>
          </w:tcPr>
          <w:p w14:paraId="5B29F60B" w14:textId="3081B758"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161dB</w:t>
            </w:r>
          </w:p>
        </w:tc>
        <w:tc>
          <w:tcPr>
            <w:tcW w:w="2673" w:type="dxa"/>
            <w:shd w:val="clear" w:color="auto" w:fill="FF99CC"/>
          </w:tcPr>
          <w:p w14:paraId="00B50D11" w14:textId="49D776D1" w:rsidR="00A47FFA" w:rsidRDefault="004C0F10" w:rsidP="00A47FFA">
            <w:pPr>
              <w:spacing w:after="0"/>
              <w:rPr>
                <w:rFonts w:ascii="Arial" w:hAnsi="Arial" w:cs="Arial"/>
                <w:sz w:val="20"/>
                <w:szCs w:val="20"/>
                <w:lang w:eastAsia="zh-CN"/>
              </w:rPr>
            </w:pPr>
            <w:r>
              <w:rPr>
                <w:rFonts w:ascii="Arial" w:hAnsi="Arial" w:cs="Arial"/>
                <w:sz w:val="20"/>
                <w:szCs w:val="20"/>
                <w:lang w:eastAsia="zh-CN"/>
              </w:rPr>
              <w:t>-11dB</w:t>
            </w:r>
          </w:p>
        </w:tc>
      </w:tr>
      <w:tr w:rsidR="00A47FFA" w14:paraId="1C522C94" w14:textId="3CC2EF96" w:rsidTr="004C0F10">
        <w:tc>
          <w:tcPr>
            <w:tcW w:w="1409" w:type="dxa"/>
          </w:tcPr>
          <w:p w14:paraId="7137732E" w14:textId="08E2425D"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DU-</w:t>
            </w:r>
            <w:proofErr w:type="spellStart"/>
            <w:r>
              <w:rPr>
                <w:rFonts w:ascii="Arial" w:hAnsi="Arial" w:cs="Arial"/>
                <w:sz w:val="20"/>
                <w:szCs w:val="20"/>
                <w:lang w:eastAsia="zh-CN"/>
              </w:rPr>
              <w:t>eMBB</w:t>
            </w:r>
            <w:proofErr w:type="spellEnd"/>
          </w:p>
        </w:tc>
        <w:tc>
          <w:tcPr>
            <w:tcW w:w="1765" w:type="dxa"/>
          </w:tcPr>
          <w:p w14:paraId="774A956F" w14:textId="28F912B4" w:rsidR="00A47FFA" w:rsidRDefault="00A47FFA" w:rsidP="00A47FFA">
            <w:pPr>
              <w:spacing w:after="0"/>
              <w:rPr>
                <w:rFonts w:ascii="Arial" w:hAnsi="Arial" w:cs="Arial"/>
                <w:sz w:val="20"/>
                <w:szCs w:val="20"/>
                <w:lang w:eastAsia="zh-CN"/>
              </w:rPr>
            </w:pPr>
            <w:r>
              <w:rPr>
                <w:rFonts w:ascii="Arial" w:hAnsi="Arial" w:cs="Arial"/>
                <w:sz w:val="20"/>
                <w:szCs w:val="20"/>
                <w:lang w:eastAsia="zh-CN"/>
              </w:rPr>
              <w:t>DDDSU DDSUU</w:t>
            </w:r>
          </w:p>
        </w:tc>
        <w:tc>
          <w:tcPr>
            <w:tcW w:w="917" w:type="dxa"/>
          </w:tcPr>
          <w:p w14:paraId="0353A88E" w14:textId="201EF54B"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162dB</w:t>
            </w:r>
          </w:p>
        </w:tc>
        <w:tc>
          <w:tcPr>
            <w:tcW w:w="918" w:type="dxa"/>
          </w:tcPr>
          <w:p w14:paraId="2E469B82" w14:textId="3B99C12D"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150dB</w:t>
            </w:r>
          </w:p>
        </w:tc>
        <w:tc>
          <w:tcPr>
            <w:tcW w:w="928" w:type="dxa"/>
          </w:tcPr>
          <w:p w14:paraId="6A04152A" w14:textId="7714C977"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169dB</w:t>
            </w:r>
          </w:p>
        </w:tc>
        <w:tc>
          <w:tcPr>
            <w:tcW w:w="928" w:type="dxa"/>
          </w:tcPr>
          <w:p w14:paraId="1ECC3D23" w14:textId="37EC054B"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161dB</w:t>
            </w:r>
          </w:p>
        </w:tc>
        <w:tc>
          <w:tcPr>
            <w:tcW w:w="2673" w:type="dxa"/>
            <w:shd w:val="clear" w:color="auto" w:fill="FF99CC"/>
          </w:tcPr>
          <w:p w14:paraId="1D6E1FFE" w14:textId="22935D4A" w:rsidR="00A47FFA" w:rsidRDefault="004C0F10" w:rsidP="00A47FFA">
            <w:pPr>
              <w:spacing w:after="0"/>
              <w:rPr>
                <w:rFonts w:ascii="Arial" w:hAnsi="Arial" w:cs="Arial"/>
                <w:sz w:val="20"/>
                <w:szCs w:val="20"/>
                <w:lang w:eastAsia="zh-CN"/>
              </w:rPr>
            </w:pPr>
            <w:r>
              <w:rPr>
                <w:rFonts w:ascii="Arial" w:hAnsi="Arial" w:cs="Arial"/>
                <w:sz w:val="20"/>
                <w:szCs w:val="20"/>
                <w:lang w:eastAsia="zh-CN"/>
              </w:rPr>
              <w:t>-12dB</w:t>
            </w:r>
          </w:p>
        </w:tc>
      </w:tr>
      <w:tr w:rsidR="00A47FFA" w14:paraId="2F90A7C1" w14:textId="24CE11B1" w:rsidTr="004C0F10">
        <w:tc>
          <w:tcPr>
            <w:tcW w:w="1409" w:type="dxa"/>
          </w:tcPr>
          <w:p w14:paraId="7AC53D95" w14:textId="6B18A6B3"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DU-</w:t>
            </w:r>
            <w:proofErr w:type="spellStart"/>
            <w:r>
              <w:rPr>
                <w:rFonts w:ascii="Arial" w:hAnsi="Arial" w:cs="Arial"/>
                <w:sz w:val="20"/>
                <w:szCs w:val="20"/>
                <w:lang w:eastAsia="zh-CN"/>
              </w:rPr>
              <w:t>eMBB</w:t>
            </w:r>
            <w:proofErr w:type="spellEnd"/>
          </w:p>
        </w:tc>
        <w:tc>
          <w:tcPr>
            <w:tcW w:w="1765" w:type="dxa"/>
          </w:tcPr>
          <w:p w14:paraId="7BD87755" w14:textId="764F561C" w:rsidR="00A47FFA" w:rsidRDefault="00A47FFA" w:rsidP="00A47FFA">
            <w:pPr>
              <w:spacing w:after="0"/>
              <w:rPr>
                <w:rFonts w:ascii="Arial" w:hAnsi="Arial" w:cs="Arial"/>
                <w:sz w:val="20"/>
                <w:szCs w:val="20"/>
                <w:lang w:eastAsia="zh-CN"/>
              </w:rPr>
            </w:pPr>
            <w:r>
              <w:rPr>
                <w:rFonts w:ascii="Arial" w:hAnsi="Arial" w:cs="Arial"/>
                <w:sz w:val="20"/>
                <w:szCs w:val="20"/>
                <w:lang w:eastAsia="zh-CN"/>
              </w:rPr>
              <w:t>DDDDD DDSUU</w:t>
            </w:r>
          </w:p>
        </w:tc>
        <w:tc>
          <w:tcPr>
            <w:tcW w:w="917" w:type="dxa"/>
          </w:tcPr>
          <w:p w14:paraId="3A6701F9" w14:textId="72374170"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164dB</w:t>
            </w:r>
          </w:p>
        </w:tc>
        <w:tc>
          <w:tcPr>
            <w:tcW w:w="918" w:type="dxa"/>
          </w:tcPr>
          <w:p w14:paraId="58D8A50F" w14:textId="1494C0CE"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147dB</w:t>
            </w:r>
          </w:p>
        </w:tc>
        <w:tc>
          <w:tcPr>
            <w:tcW w:w="928" w:type="dxa"/>
          </w:tcPr>
          <w:p w14:paraId="35BF6D2B" w14:textId="7381E3B9"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169dB</w:t>
            </w:r>
          </w:p>
        </w:tc>
        <w:tc>
          <w:tcPr>
            <w:tcW w:w="928" w:type="dxa"/>
          </w:tcPr>
          <w:p w14:paraId="02EF40AC" w14:textId="74163353"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160dB</w:t>
            </w:r>
          </w:p>
        </w:tc>
        <w:tc>
          <w:tcPr>
            <w:tcW w:w="2673" w:type="dxa"/>
            <w:shd w:val="clear" w:color="auto" w:fill="FF99CC"/>
          </w:tcPr>
          <w:p w14:paraId="1089728B" w14:textId="66BA4093" w:rsidR="00A47FFA" w:rsidRDefault="004C0F10" w:rsidP="00A47FFA">
            <w:pPr>
              <w:spacing w:after="0"/>
              <w:rPr>
                <w:rFonts w:ascii="Arial" w:hAnsi="Arial" w:cs="Arial"/>
                <w:sz w:val="20"/>
                <w:szCs w:val="20"/>
                <w:lang w:eastAsia="zh-CN"/>
              </w:rPr>
            </w:pPr>
            <w:r>
              <w:rPr>
                <w:rFonts w:ascii="Arial" w:hAnsi="Arial" w:cs="Arial"/>
                <w:sz w:val="20"/>
                <w:szCs w:val="20"/>
                <w:lang w:eastAsia="zh-CN"/>
              </w:rPr>
              <w:t>-17dB</w:t>
            </w:r>
          </w:p>
        </w:tc>
      </w:tr>
      <w:tr w:rsidR="00A47FFA" w14:paraId="282362F4" w14:textId="03FBFDAA" w:rsidTr="004C0F10">
        <w:tc>
          <w:tcPr>
            <w:tcW w:w="1409" w:type="dxa"/>
          </w:tcPr>
          <w:p w14:paraId="3A5AF876" w14:textId="55E4F17D" w:rsidR="00A47FFA" w:rsidRDefault="00A47FFA" w:rsidP="00A47FFA">
            <w:pPr>
              <w:spacing w:after="0"/>
              <w:rPr>
                <w:rFonts w:ascii="Arial" w:hAnsi="Arial" w:cs="Arial"/>
                <w:sz w:val="20"/>
                <w:szCs w:val="20"/>
                <w:lang w:eastAsia="zh-CN"/>
              </w:rPr>
            </w:pPr>
            <w:r>
              <w:rPr>
                <w:rFonts w:ascii="Arial" w:hAnsi="Arial" w:cs="Arial"/>
                <w:sz w:val="20"/>
                <w:szCs w:val="20"/>
                <w:lang w:eastAsia="zh-CN"/>
              </w:rPr>
              <w:t>Rural-</w:t>
            </w:r>
            <w:proofErr w:type="spellStart"/>
            <w:r>
              <w:rPr>
                <w:rFonts w:ascii="Arial" w:hAnsi="Arial" w:cs="Arial"/>
                <w:sz w:val="20"/>
                <w:szCs w:val="20"/>
                <w:lang w:eastAsia="zh-CN"/>
              </w:rPr>
              <w:t>eMBB</w:t>
            </w:r>
            <w:proofErr w:type="spellEnd"/>
          </w:p>
        </w:tc>
        <w:tc>
          <w:tcPr>
            <w:tcW w:w="1765" w:type="dxa"/>
          </w:tcPr>
          <w:p w14:paraId="4EFA8A9A" w14:textId="18A64BDD" w:rsidR="00A47FFA" w:rsidRDefault="00A47FFA" w:rsidP="00A47FFA">
            <w:pPr>
              <w:spacing w:after="0"/>
              <w:rPr>
                <w:rFonts w:ascii="Arial" w:hAnsi="Arial" w:cs="Arial"/>
                <w:sz w:val="20"/>
                <w:szCs w:val="20"/>
                <w:lang w:eastAsia="zh-CN"/>
              </w:rPr>
            </w:pPr>
            <w:r>
              <w:rPr>
                <w:rFonts w:ascii="Arial" w:hAnsi="Arial" w:cs="Arial"/>
                <w:sz w:val="20"/>
                <w:szCs w:val="20"/>
                <w:lang w:eastAsia="zh-CN"/>
              </w:rPr>
              <w:t>FDD</w:t>
            </w:r>
          </w:p>
        </w:tc>
        <w:tc>
          <w:tcPr>
            <w:tcW w:w="917" w:type="dxa"/>
          </w:tcPr>
          <w:p w14:paraId="7CA41793" w14:textId="428CA6AA"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156dB</w:t>
            </w:r>
          </w:p>
        </w:tc>
        <w:tc>
          <w:tcPr>
            <w:tcW w:w="918" w:type="dxa"/>
          </w:tcPr>
          <w:p w14:paraId="7F3CA7A2" w14:textId="29B55011"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142dB</w:t>
            </w:r>
          </w:p>
        </w:tc>
        <w:tc>
          <w:tcPr>
            <w:tcW w:w="928" w:type="dxa"/>
          </w:tcPr>
          <w:p w14:paraId="24763DAB" w14:textId="590A1609"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167dB</w:t>
            </w:r>
          </w:p>
        </w:tc>
        <w:tc>
          <w:tcPr>
            <w:tcW w:w="928" w:type="dxa"/>
          </w:tcPr>
          <w:p w14:paraId="3767E75B" w14:textId="1FAAF3DB"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158dB</w:t>
            </w:r>
          </w:p>
        </w:tc>
        <w:tc>
          <w:tcPr>
            <w:tcW w:w="2673" w:type="dxa"/>
            <w:shd w:val="clear" w:color="auto" w:fill="FF99CC"/>
          </w:tcPr>
          <w:p w14:paraId="753F1AF3" w14:textId="03855502" w:rsidR="00A47FFA" w:rsidRDefault="004C0F10" w:rsidP="00A47FFA">
            <w:pPr>
              <w:spacing w:after="0"/>
              <w:rPr>
                <w:rFonts w:ascii="Arial" w:hAnsi="Arial" w:cs="Arial"/>
                <w:sz w:val="20"/>
                <w:szCs w:val="20"/>
                <w:lang w:eastAsia="zh-CN"/>
              </w:rPr>
            </w:pPr>
            <w:r>
              <w:rPr>
                <w:rFonts w:ascii="Arial" w:hAnsi="Arial" w:cs="Arial"/>
                <w:sz w:val="20"/>
                <w:szCs w:val="20"/>
                <w:lang w:eastAsia="zh-CN"/>
              </w:rPr>
              <w:t>-14dB</w:t>
            </w:r>
          </w:p>
        </w:tc>
      </w:tr>
      <w:tr w:rsidR="00A47FFA" w14:paraId="0FCC2787" w14:textId="10F9E553" w:rsidTr="004C0F10">
        <w:tc>
          <w:tcPr>
            <w:tcW w:w="1409" w:type="dxa"/>
          </w:tcPr>
          <w:p w14:paraId="0780CF97" w14:textId="45D5E6B8" w:rsidR="00A47FFA" w:rsidRDefault="00A47FFA" w:rsidP="00A47FFA">
            <w:pPr>
              <w:spacing w:after="0"/>
              <w:rPr>
                <w:rFonts w:ascii="Arial" w:hAnsi="Arial" w:cs="Arial"/>
                <w:sz w:val="20"/>
                <w:szCs w:val="20"/>
                <w:lang w:eastAsia="zh-CN"/>
              </w:rPr>
            </w:pPr>
            <w:r>
              <w:rPr>
                <w:rFonts w:ascii="Arial" w:hAnsi="Arial" w:cs="Arial"/>
                <w:sz w:val="20"/>
                <w:szCs w:val="20"/>
                <w:lang w:eastAsia="zh-CN"/>
              </w:rPr>
              <w:t>Rural-</w:t>
            </w:r>
            <w:proofErr w:type="spellStart"/>
            <w:r>
              <w:rPr>
                <w:rFonts w:ascii="Arial" w:hAnsi="Arial" w:cs="Arial"/>
                <w:sz w:val="20"/>
                <w:szCs w:val="20"/>
                <w:lang w:eastAsia="zh-CN"/>
              </w:rPr>
              <w:t>eMBB</w:t>
            </w:r>
            <w:proofErr w:type="spellEnd"/>
          </w:p>
        </w:tc>
        <w:tc>
          <w:tcPr>
            <w:tcW w:w="1765" w:type="dxa"/>
          </w:tcPr>
          <w:p w14:paraId="73A89A36" w14:textId="5F384FBC" w:rsidR="00A47FFA" w:rsidRDefault="00A47FFA" w:rsidP="00A47FFA">
            <w:pPr>
              <w:spacing w:after="0"/>
              <w:rPr>
                <w:rFonts w:ascii="Arial" w:hAnsi="Arial" w:cs="Arial"/>
                <w:sz w:val="20"/>
                <w:szCs w:val="20"/>
                <w:lang w:eastAsia="zh-CN"/>
              </w:rPr>
            </w:pPr>
            <w:r>
              <w:rPr>
                <w:rFonts w:ascii="Arial" w:hAnsi="Arial" w:cs="Arial"/>
                <w:sz w:val="20"/>
                <w:szCs w:val="20"/>
                <w:lang w:eastAsia="zh-CN"/>
              </w:rPr>
              <w:t>DSUUD</w:t>
            </w:r>
          </w:p>
        </w:tc>
        <w:tc>
          <w:tcPr>
            <w:tcW w:w="917" w:type="dxa"/>
          </w:tcPr>
          <w:p w14:paraId="2630F8F6" w14:textId="5E24E765"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157dB</w:t>
            </w:r>
          </w:p>
        </w:tc>
        <w:tc>
          <w:tcPr>
            <w:tcW w:w="918" w:type="dxa"/>
          </w:tcPr>
          <w:p w14:paraId="46F6D5DE" w14:textId="2BCD5C9E"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145dB</w:t>
            </w:r>
          </w:p>
        </w:tc>
        <w:tc>
          <w:tcPr>
            <w:tcW w:w="928" w:type="dxa"/>
          </w:tcPr>
          <w:p w14:paraId="181B416E" w14:textId="72FC2B69"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164dB</w:t>
            </w:r>
          </w:p>
        </w:tc>
        <w:tc>
          <w:tcPr>
            <w:tcW w:w="928" w:type="dxa"/>
          </w:tcPr>
          <w:p w14:paraId="4B5ED2DC" w14:textId="653648D6"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153dB</w:t>
            </w:r>
          </w:p>
        </w:tc>
        <w:tc>
          <w:tcPr>
            <w:tcW w:w="2673" w:type="dxa"/>
            <w:shd w:val="clear" w:color="auto" w:fill="FF99CC"/>
          </w:tcPr>
          <w:p w14:paraId="5DDF5D2B" w14:textId="576D3DCB" w:rsidR="00A47FFA" w:rsidRDefault="004C0F10" w:rsidP="00A47FFA">
            <w:pPr>
              <w:spacing w:after="0"/>
              <w:rPr>
                <w:rFonts w:ascii="Arial" w:hAnsi="Arial" w:cs="Arial"/>
                <w:sz w:val="20"/>
                <w:szCs w:val="20"/>
                <w:lang w:eastAsia="zh-CN"/>
              </w:rPr>
            </w:pPr>
            <w:r>
              <w:rPr>
                <w:rFonts w:ascii="Arial" w:hAnsi="Arial" w:cs="Arial"/>
                <w:sz w:val="20"/>
                <w:szCs w:val="20"/>
                <w:lang w:eastAsia="zh-CN"/>
              </w:rPr>
              <w:t>-12dB</w:t>
            </w:r>
          </w:p>
        </w:tc>
      </w:tr>
      <w:tr w:rsidR="00A47FFA" w14:paraId="025304F1" w14:textId="5D06276A" w:rsidTr="004C0F10">
        <w:tc>
          <w:tcPr>
            <w:tcW w:w="1409" w:type="dxa"/>
          </w:tcPr>
          <w:p w14:paraId="6668BABF" w14:textId="7200C6F2" w:rsidR="00A47FFA" w:rsidRDefault="00A47FFA" w:rsidP="00A47FFA">
            <w:pPr>
              <w:spacing w:after="0"/>
              <w:rPr>
                <w:rFonts w:ascii="Arial" w:hAnsi="Arial" w:cs="Arial"/>
                <w:sz w:val="20"/>
                <w:szCs w:val="20"/>
                <w:lang w:eastAsia="zh-CN"/>
              </w:rPr>
            </w:pPr>
            <w:r>
              <w:rPr>
                <w:rFonts w:ascii="Arial" w:hAnsi="Arial" w:cs="Arial"/>
                <w:sz w:val="20"/>
                <w:szCs w:val="20"/>
                <w:lang w:eastAsia="zh-CN"/>
              </w:rPr>
              <w:t>Rural-</w:t>
            </w:r>
            <w:proofErr w:type="spellStart"/>
            <w:r>
              <w:rPr>
                <w:rFonts w:ascii="Arial" w:hAnsi="Arial" w:cs="Arial"/>
                <w:sz w:val="20"/>
                <w:szCs w:val="20"/>
                <w:lang w:eastAsia="zh-CN"/>
              </w:rPr>
              <w:t>eMBB</w:t>
            </w:r>
            <w:proofErr w:type="spellEnd"/>
          </w:p>
        </w:tc>
        <w:tc>
          <w:tcPr>
            <w:tcW w:w="1765" w:type="dxa"/>
          </w:tcPr>
          <w:p w14:paraId="5AD12B12" w14:textId="6F277C5F" w:rsidR="00A47FFA" w:rsidRDefault="00A47FFA" w:rsidP="00A47FFA">
            <w:pPr>
              <w:spacing w:after="0"/>
              <w:rPr>
                <w:rFonts w:ascii="Arial" w:hAnsi="Arial" w:cs="Arial"/>
                <w:sz w:val="20"/>
                <w:szCs w:val="20"/>
                <w:lang w:eastAsia="zh-CN"/>
              </w:rPr>
            </w:pPr>
            <w:r>
              <w:rPr>
                <w:rFonts w:ascii="Arial" w:hAnsi="Arial" w:cs="Arial"/>
                <w:sz w:val="20"/>
                <w:szCs w:val="20"/>
                <w:lang w:eastAsia="zh-CN"/>
              </w:rPr>
              <w:t>DDDSU DDSUU</w:t>
            </w:r>
          </w:p>
        </w:tc>
        <w:tc>
          <w:tcPr>
            <w:tcW w:w="917" w:type="dxa"/>
          </w:tcPr>
          <w:p w14:paraId="256E2AC8" w14:textId="6C570251"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159dB</w:t>
            </w:r>
          </w:p>
        </w:tc>
        <w:tc>
          <w:tcPr>
            <w:tcW w:w="918" w:type="dxa"/>
          </w:tcPr>
          <w:p w14:paraId="318DCE25" w14:textId="0066D4F8"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146dB</w:t>
            </w:r>
          </w:p>
        </w:tc>
        <w:tc>
          <w:tcPr>
            <w:tcW w:w="928" w:type="dxa"/>
          </w:tcPr>
          <w:p w14:paraId="541201FF" w14:textId="4F1A5AAC"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166dB</w:t>
            </w:r>
          </w:p>
        </w:tc>
        <w:tc>
          <w:tcPr>
            <w:tcW w:w="928" w:type="dxa"/>
          </w:tcPr>
          <w:p w14:paraId="55C85ADF" w14:textId="67074BCB"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155dB</w:t>
            </w:r>
          </w:p>
        </w:tc>
        <w:tc>
          <w:tcPr>
            <w:tcW w:w="2673" w:type="dxa"/>
            <w:shd w:val="clear" w:color="auto" w:fill="FF99CC"/>
          </w:tcPr>
          <w:p w14:paraId="502303D2" w14:textId="567C4509" w:rsidR="00A47FFA" w:rsidRDefault="004C0F10" w:rsidP="00A47FFA">
            <w:pPr>
              <w:spacing w:after="0"/>
              <w:rPr>
                <w:rFonts w:ascii="Arial" w:hAnsi="Arial" w:cs="Arial"/>
                <w:sz w:val="20"/>
                <w:szCs w:val="20"/>
                <w:lang w:eastAsia="zh-CN"/>
              </w:rPr>
            </w:pPr>
            <w:r>
              <w:rPr>
                <w:rFonts w:ascii="Arial" w:hAnsi="Arial" w:cs="Arial"/>
                <w:sz w:val="20"/>
                <w:szCs w:val="20"/>
                <w:lang w:eastAsia="zh-CN"/>
              </w:rPr>
              <w:t>-13dB</w:t>
            </w:r>
          </w:p>
        </w:tc>
      </w:tr>
      <w:tr w:rsidR="00A47FFA" w14:paraId="662B3A25" w14:textId="6A5661DC" w:rsidTr="004C0F10">
        <w:tc>
          <w:tcPr>
            <w:tcW w:w="1409" w:type="dxa"/>
          </w:tcPr>
          <w:p w14:paraId="0E5102A8" w14:textId="22DD3484" w:rsidR="00A47FFA" w:rsidRDefault="00A47FFA" w:rsidP="00A47FFA">
            <w:pPr>
              <w:spacing w:after="0"/>
              <w:rPr>
                <w:rFonts w:ascii="Arial" w:hAnsi="Arial" w:cs="Arial"/>
                <w:sz w:val="20"/>
                <w:szCs w:val="20"/>
                <w:lang w:eastAsia="zh-CN"/>
              </w:rPr>
            </w:pPr>
            <w:r>
              <w:rPr>
                <w:rFonts w:ascii="Arial" w:hAnsi="Arial" w:cs="Arial"/>
                <w:sz w:val="20"/>
                <w:szCs w:val="20"/>
                <w:lang w:eastAsia="zh-CN"/>
              </w:rPr>
              <w:t>Rural-</w:t>
            </w:r>
            <w:proofErr w:type="spellStart"/>
            <w:r>
              <w:rPr>
                <w:rFonts w:ascii="Arial" w:hAnsi="Arial" w:cs="Arial"/>
                <w:sz w:val="20"/>
                <w:szCs w:val="20"/>
                <w:lang w:eastAsia="zh-CN"/>
              </w:rPr>
              <w:t>eMBB</w:t>
            </w:r>
            <w:proofErr w:type="spellEnd"/>
          </w:p>
        </w:tc>
        <w:tc>
          <w:tcPr>
            <w:tcW w:w="1765" w:type="dxa"/>
          </w:tcPr>
          <w:p w14:paraId="54DF9DE1" w14:textId="6D92FC78" w:rsidR="00A47FFA" w:rsidRDefault="00A47FFA" w:rsidP="00A47FFA">
            <w:pPr>
              <w:spacing w:after="0"/>
              <w:rPr>
                <w:rFonts w:ascii="Arial" w:hAnsi="Arial" w:cs="Arial"/>
                <w:sz w:val="20"/>
                <w:szCs w:val="20"/>
                <w:lang w:eastAsia="zh-CN"/>
              </w:rPr>
            </w:pPr>
            <w:r>
              <w:rPr>
                <w:rFonts w:ascii="Arial" w:hAnsi="Arial" w:cs="Arial"/>
                <w:sz w:val="20"/>
                <w:szCs w:val="20"/>
                <w:lang w:eastAsia="zh-CN"/>
              </w:rPr>
              <w:t>DDDDD DDSUU</w:t>
            </w:r>
          </w:p>
        </w:tc>
        <w:tc>
          <w:tcPr>
            <w:tcW w:w="917" w:type="dxa"/>
          </w:tcPr>
          <w:p w14:paraId="21B89915" w14:textId="7CACB2B5"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159dB</w:t>
            </w:r>
          </w:p>
        </w:tc>
        <w:tc>
          <w:tcPr>
            <w:tcW w:w="918" w:type="dxa"/>
          </w:tcPr>
          <w:p w14:paraId="739C1415" w14:textId="0404F115"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142dB</w:t>
            </w:r>
          </w:p>
        </w:tc>
        <w:tc>
          <w:tcPr>
            <w:tcW w:w="928" w:type="dxa"/>
          </w:tcPr>
          <w:p w14:paraId="20B1878A" w14:textId="41155851"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166dB</w:t>
            </w:r>
          </w:p>
        </w:tc>
        <w:tc>
          <w:tcPr>
            <w:tcW w:w="928" w:type="dxa"/>
          </w:tcPr>
          <w:p w14:paraId="4D919C6F" w14:textId="34608C11"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155dB</w:t>
            </w:r>
          </w:p>
        </w:tc>
        <w:tc>
          <w:tcPr>
            <w:tcW w:w="2673" w:type="dxa"/>
            <w:tcBorders>
              <w:bottom w:val="single" w:sz="4" w:space="0" w:color="auto"/>
            </w:tcBorders>
            <w:shd w:val="clear" w:color="auto" w:fill="FF99CC"/>
          </w:tcPr>
          <w:p w14:paraId="0EF51535" w14:textId="682F4050" w:rsidR="00A47FFA" w:rsidRDefault="004C0F10" w:rsidP="00A47FFA">
            <w:pPr>
              <w:spacing w:after="0"/>
              <w:rPr>
                <w:rFonts w:ascii="Arial" w:hAnsi="Arial" w:cs="Arial"/>
                <w:sz w:val="20"/>
                <w:szCs w:val="20"/>
                <w:lang w:eastAsia="zh-CN"/>
              </w:rPr>
            </w:pPr>
            <w:r>
              <w:rPr>
                <w:rFonts w:ascii="Arial" w:hAnsi="Arial" w:cs="Arial"/>
                <w:sz w:val="20"/>
                <w:szCs w:val="20"/>
                <w:lang w:eastAsia="zh-CN"/>
              </w:rPr>
              <w:t>-17dB</w:t>
            </w:r>
          </w:p>
        </w:tc>
      </w:tr>
      <w:tr w:rsidR="00A47FFA" w14:paraId="6639A357" w14:textId="6B3B5563" w:rsidTr="004C0F10">
        <w:tc>
          <w:tcPr>
            <w:tcW w:w="1409" w:type="dxa"/>
          </w:tcPr>
          <w:p w14:paraId="3296E990" w14:textId="064EF057" w:rsidR="00A47FFA" w:rsidRDefault="00A47FFA" w:rsidP="00A47FFA">
            <w:pPr>
              <w:spacing w:after="0"/>
              <w:rPr>
                <w:rFonts w:ascii="Arial" w:hAnsi="Arial" w:cs="Arial"/>
                <w:sz w:val="20"/>
                <w:szCs w:val="20"/>
                <w:lang w:eastAsia="zh-CN"/>
              </w:rPr>
            </w:pPr>
            <w:proofErr w:type="spellStart"/>
            <w:r>
              <w:rPr>
                <w:rFonts w:ascii="Arial" w:hAnsi="Arial" w:cs="Arial"/>
                <w:sz w:val="20"/>
                <w:szCs w:val="20"/>
                <w:lang w:eastAsia="zh-CN"/>
              </w:rPr>
              <w:t>UMa-mMTC</w:t>
            </w:r>
            <w:proofErr w:type="spellEnd"/>
          </w:p>
        </w:tc>
        <w:tc>
          <w:tcPr>
            <w:tcW w:w="1765" w:type="dxa"/>
          </w:tcPr>
          <w:p w14:paraId="628AFFBE" w14:textId="7A984889" w:rsidR="00A47FFA" w:rsidRDefault="00A47FFA" w:rsidP="00A47FFA">
            <w:pPr>
              <w:spacing w:after="0"/>
              <w:rPr>
                <w:rFonts w:ascii="Arial" w:hAnsi="Arial" w:cs="Arial"/>
                <w:sz w:val="20"/>
                <w:szCs w:val="20"/>
                <w:lang w:eastAsia="zh-CN"/>
              </w:rPr>
            </w:pPr>
            <w:r>
              <w:rPr>
                <w:rFonts w:ascii="Arial" w:hAnsi="Arial" w:cs="Arial"/>
                <w:sz w:val="20"/>
                <w:szCs w:val="20"/>
                <w:lang w:eastAsia="zh-CN"/>
              </w:rPr>
              <w:t>FDD</w:t>
            </w:r>
          </w:p>
        </w:tc>
        <w:tc>
          <w:tcPr>
            <w:tcW w:w="917" w:type="dxa"/>
          </w:tcPr>
          <w:p w14:paraId="09821257" w14:textId="3B991590"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150dB</w:t>
            </w:r>
          </w:p>
        </w:tc>
        <w:tc>
          <w:tcPr>
            <w:tcW w:w="918" w:type="dxa"/>
          </w:tcPr>
          <w:p w14:paraId="3D90B379" w14:textId="4CA174F1"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152dB</w:t>
            </w:r>
          </w:p>
        </w:tc>
        <w:tc>
          <w:tcPr>
            <w:tcW w:w="928" w:type="dxa"/>
          </w:tcPr>
          <w:p w14:paraId="64DCF31C" w14:textId="6AEA017A"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151dB</w:t>
            </w:r>
          </w:p>
        </w:tc>
        <w:tc>
          <w:tcPr>
            <w:tcW w:w="928" w:type="dxa"/>
          </w:tcPr>
          <w:p w14:paraId="7439BDF7" w14:textId="40B48C29"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153dB</w:t>
            </w:r>
          </w:p>
        </w:tc>
        <w:tc>
          <w:tcPr>
            <w:tcW w:w="2673" w:type="dxa"/>
            <w:tcBorders>
              <w:bottom w:val="single" w:sz="4" w:space="0" w:color="auto"/>
            </w:tcBorders>
            <w:shd w:val="clear" w:color="auto" w:fill="A8D08D" w:themeFill="accent6" w:themeFillTint="99"/>
          </w:tcPr>
          <w:p w14:paraId="5E47AD93" w14:textId="39095B2A" w:rsidR="00A47FFA" w:rsidRDefault="004C0F10" w:rsidP="00A47FFA">
            <w:pPr>
              <w:spacing w:after="0"/>
              <w:rPr>
                <w:rFonts w:ascii="Arial" w:hAnsi="Arial" w:cs="Arial"/>
                <w:sz w:val="20"/>
                <w:szCs w:val="20"/>
                <w:lang w:eastAsia="zh-CN"/>
              </w:rPr>
            </w:pPr>
            <w:r>
              <w:rPr>
                <w:rFonts w:ascii="Arial" w:hAnsi="Arial" w:cs="Arial"/>
                <w:sz w:val="20"/>
                <w:szCs w:val="20"/>
                <w:lang w:eastAsia="zh-CN"/>
              </w:rPr>
              <w:t>+2dB</w:t>
            </w:r>
          </w:p>
        </w:tc>
      </w:tr>
      <w:tr w:rsidR="00A47FFA" w14:paraId="7DF84437" w14:textId="7EDACEEB" w:rsidTr="004C0F10">
        <w:tc>
          <w:tcPr>
            <w:tcW w:w="1409" w:type="dxa"/>
          </w:tcPr>
          <w:p w14:paraId="01CF5905" w14:textId="51A7CE4C" w:rsidR="00A47FFA" w:rsidRDefault="00A47FFA" w:rsidP="00A47FFA">
            <w:pPr>
              <w:spacing w:after="0"/>
              <w:rPr>
                <w:rFonts w:ascii="Arial" w:hAnsi="Arial" w:cs="Arial"/>
                <w:sz w:val="20"/>
                <w:szCs w:val="20"/>
                <w:lang w:eastAsia="zh-CN"/>
              </w:rPr>
            </w:pPr>
            <w:proofErr w:type="spellStart"/>
            <w:r>
              <w:rPr>
                <w:rFonts w:ascii="Arial" w:hAnsi="Arial" w:cs="Arial"/>
                <w:sz w:val="20"/>
                <w:szCs w:val="20"/>
                <w:lang w:eastAsia="zh-CN"/>
              </w:rPr>
              <w:t>UMa</w:t>
            </w:r>
            <w:proofErr w:type="spellEnd"/>
            <w:r>
              <w:rPr>
                <w:rFonts w:ascii="Arial" w:hAnsi="Arial" w:cs="Arial"/>
                <w:sz w:val="20"/>
                <w:szCs w:val="20"/>
                <w:lang w:eastAsia="zh-CN"/>
              </w:rPr>
              <w:t>-URLLC</w:t>
            </w:r>
          </w:p>
        </w:tc>
        <w:tc>
          <w:tcPr>
            <w:tcW w:w="1765" w:type="dxa"/>
          </w:tcPr>
          <w:p w14:paraId="0A96C825" w14:textId="65F66D2B" w:rsidR="00A47FFA" w:rsidRDefault="004C0F10" w:rsidP="00A47FFA">
            <w:pPr>
              <w:spacing w:after="0"/>
              <w:rPr>
                <w:rFonts w:ascii="Arial" w:hAnsi="Arial" w:cs="Arial"/>
                <w:sz w:val="20"/>
                <w:szCs w:val="20"/>
                <w:lang w:eastAsia="zh-CN"/>
              </w:rPr>
            </w:pPr>
            <w:r w:rsidRPr="009B5E87">
              <w:rPr>
                <w:rFonts w:ascii="Arial" w:hAnsi="Arial" w:cs="Arial"/>
                <w:sz w:val="20"/>
                <w:szCs w:val="20"/>
                <w:lang w:eastAsia="zh-CN"/>
              </w:rPr>
              <w:t>[FDD]</w:t>
            </w:r>
          </w:p>
        </w:tc>
        <w:tc>
          <w:tcPr>
            <w:tcW w:w="917" w:type="dxa"/>
          </w:tcPr>
          <w:p w14:paraId="5588F72E" w14:textId="36752EBA"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160dB</w:t>
            </w:r>
          </w:p>
        </w:tc>
        <w:tc>
          <w:tcPr>
            <w:tcW w:w="918" w:type="dxa"/>
          </w:tcPr>
          <w:p w14:paraId="480D2B4A" w14:textId="6910203E"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142dB</w:t>
            </w:r>
          </w:p>
        </w:tc>
        <w:tc>
          <w:tcPr>
            <w:tcW w:w="928" w:type="dxa"/>
          </w:tcPr>
          <w:p w14:paraId="1A71B784" w14:textId="2E478E4C"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160dB</w:t>
            </w:r>
          </w:p>
        </w:tc>
        <w:tc>
          <w:tcPr>
            <w:tcW w:w="928" w:type="dxa"/>
          </w:tcPr>
          <w:p w14:paraId="4A496D70" w14:textId="0E36BCD1" w:rsidR="00A47FFA" w:rsidRPr="00A51B48" w:rsidRDefault="00A47FFA" w:rsidP="00A47FFA">
            <w:pPr>
              <w:spacing w:after="0"/>
              <w:rPr>
                <w:rFonts w:ascii="Arial" w:hAnsi="Arial" w:cs="Arial"/>
                <w:sz w:val="20"/>
                <w:szCs w:val="20"/>
                <w:lang w:eastAsia="zh-CN"/>
              </w:rPr>
            </w:pPr>
            <w:r>
              <w:rPr>
                <w:rFonts w:ascii="Arial" w:hAnsi="Arial" w:cs="Arial"/>
                <w:sz w:val="20"/>
                <w:szCs w:val="20"/>
                <w:lang w:eastAsia="zh-CN"/>
              </w:rPr>
              <w:t>144dB</w:t>
            </w:r>
          </w:p>
        </w:tc>
        <w:tc>
          <w:tcPr>
            <w:tcW w:w="2673" w:type="dxa"/>
            <w:shd w:val="clear" w:color="auto" w:fill="FF99CC"/>
          </w:tcPr>
          <w:p w14:paraId="2B410A81" w14:textId="4286C0F9" w:rsidR="00A47FFA" w:rsidRDefault="004C0F10" w:rsidP="00A47FFA">
            <w:pPr>
              <w:spacing w:after="0"/>
              <w:rPr>
                <w:rFonts w:ascii="Arial" w:hAnsi="Arial" w:cs="Arial"/>
                <w:sz w:val="20"/>
                <w:szCs w:val="20"/>
                <w:lang w:eastAsia="zh-CN"/>
              </w:rPr>
            </w:pPr>
            <w:r>
              <w:rPr>
                <w:rFonts w:ascii="Arial" w:hAnsi="Arial" w:cs="Arial"/>
                <w:sz w:val="20"/>
                <w:szCs w:val="20"/>
                <w:lang w:eastAsia="zh-CN"/>
              </w:rPr>
              <w:t>-18dB</w:t>
            </w:r>
          </w:p>
        </w:tc>
      </w:tr>
    </w:tbl>
    <w:p w14:paraId="1B14AE1B" w14:textId="375E87C9" w:rsidR="00A51B48" w:rsidRDefault="00A51B48" w:rsidP="003D0455">
      <w:pPr>
        <w:spacing w:after="240"/>
        <w:rPr>
          <w:lang w:eastAsia="zh-CN"/>
        </w:rPr>
      </w:pPr>
    </w:p>
    <w:p w14:paraId="408C0236" w14:textId="6CBD57E6" w:rsidR="00F271A0" w:rsidRDefault="00F271A0" w:rsidP="003D0455">
      <w:pPr>
        <w:spacing w:after="240"/>
        <w:rPr>
          <w:lang w:eastAsia="zh-CN"/>
        </w:rPr>
      </w:pPr>
      <w:r>
        <w:rPr>
          <w:lang w:eastAsia="zh-CN"/>
        </w:rPr>
        <w:t>There is a large imbalance to the detriment of UL in DU-</w:t>
      </w:r>
      <w:proofErr w:type="spellStart"/>
      <w:r>
        <w:rPr>
          <w:lang w:eastAsia="zh-CN"/>
        </w:rPr>
        <w:t>eMBB</w:t>
      </w:r>
      <w:proofErr w:type="spellEnd"/>
      <w:r>
        <w:rPr>
          <w:lang w:eastAsia="zh-CN"/>
        </w:rPr>
        <w:t xml:space="preserve"> and Rural-</w:t>
      </w:r>
      <w:proofErr w:type="spellStart"/>
      <w:r>
        <w:rPr>
          <w:lang w:eastAsia="zh-CN"/>
        </w:rPr>
        <w:t>eMBB</w:t>
      </w:r>
      <w:proofErr w:type="spellEnd"/>
      <w:r>
        <w:rPr>
          <w:lang w:eastAsia="zh-CN"/>
        </w:rPr>
        <w:t xml:space="preserve"> scenarios. This imbalance is primarily due to the higher aggregate transmit power that is applied in the DL compared to the UL. It is noted that the number of antenna elements at the </w:t>
      </w:r>
      <w:proofErr w:type="spellStart"/>
      <w:r>
        <w:rPr>
          <w:lang w:eastAsia="zh-CN"/>
        </w:rPr>
        <w:t>gNodeB</w:t>
      </w:r>
      <w:proofErr w:type="spellEnd"/>
      <w:r>
        <w:rPr>
          <w:lang w:eastAsia="zh-CN"/>
        </w:rPr>
        <w:t xml:space="preserve"> affects the link budget, but does not affect DL-UL imbalance, since the </w:t>
      </w:r>
      <w:proofErr w:type="spellStart"/>
      <w:r>
        <w:rPr>
          <w:lang w:eastAsia="zh-CN"/>
        </w:rPr>
        <w:t>gNB</w:t>
      </w:r>
      <w:proofErr w:type="spellEnd"/>
      <w:r>
        <w:rPr>
          <w:lang w:eastAsia="zh-CN"/>
        </w:rPr>
        <w:t xml:space="preserve"> transmitter </w:t>
      </w:r>
      <w:r w:rsidR="00EA1C74">
        <w:rPr>
          <w:lang w:eastAsia="zh-CN"/>
        </w:rPr>
        <w:t>array</w:t>
      </w:r>
      <w:r>
        <w:rPr>
          <w:lang w:eastAsia="zh-CN"/>
        </w:rPr>
        <w:t xml:space="preserve"> gain in the DL is the same as the </w:t>
      </w:r>
      <w:proofErr w:type="spellStart"/>
      <w:r w:rsidR="00EA1C74">
        <w:rPr>
          <w:lang w:eastAsia="zh-CN"/>
        </w:rPr>
        <w:t>gNB</w:t>
      </w:r>
      <w:proofErr w:type="spellEnd"/>
      <w:r w:rsidR="00EA1C74">
        <w:rPr>
          <w:lang w:eastAsia="zh-CN"/>
        </w:rPr>
        <w:t xml:space="preserve"> receiver array gain in the UL.</w:t>
      </w:r>
    </w:p>
    <w:p w14:paraId="36E207BE" w14:textId="40A1DB7A" w:rsidR="00EA1C74" w:rsidRDefault="00EA1C74" w:rsidP="003D0455">
      <w:pPr>
        <w:spacing w:after="240"/>
        <w:rPr>
          <w:lang w:eastAsia="zh-CN"/>
        </w:rPr>
      </w:pPr>
      <w:r>
        <w:rPr>
          <w:lang w:eastAsia="zh-CN"/>
        </w:rPr>
        <w:t>In scenarios where PUSCH is the limiting factor (DU-</w:t>
      </w:r>
      <w:proofErr w:type="spellStart"/>
      <w:r>
        <w:rPr>
          <w:lang w:eastAsia="zh-CN"/>
        </w:rPr>
        <w:t>eMBB</w:t>
      </w:r>
      <w:proofErr w:type="spellEnd"/>
      <w:r>
        <w:rPr>
          <w:lang w:eastAsia="zh-CN"/>
        </w:rPr>
        <w:t xml:space="preserve"> and Rural-</w:t>
      </w:r>
      <w:proofErr w:type="spellStart"/>
      <w:r>
        <w:rPr>
          <w:lang w:eastAsia="zh-CN"/>
        </w:rPr>
        <w:t>eMBB</w:t>
      </w:r>
      <w:proofErr w:type="spellEnd"/>
      <w:r>
        <w:rPr>
          <w:lang w:eastAsia="zh-CN"/>
        </w:rPr>
        <w:t xml:space="preserve">), the PDSCH coverage is </w:t>
      </w:r>
      <w:proofErr w:type="gramStart"/>
      <w:r>
        <w:rPr>
          <w:lang w:eastAsia="zh-CN"/>
        </w:rPr>
        <w:t>similar to</w:t>
      </w:r>
      <w:proofErr w:type="gramEnd"/>
      <w:r>
        <w:rPr>
          <w:lang w:eastAsia="zh-CN"/>
        </w:rPr>
        <w:t xml:space="preserve"> the PUCCH coverage. Hence if PUSCH coverage is improved, the link will be broadly balanced between PDSCH, PUSCH and PUCCH.</w:t>
      </w:r>
    </w:p>
    <w:p w14:paraId="1C6DAEEA" w14:textId="35D83826" w:rsidR="00F96EC1" w:rsidRDefault="00F96EC1" w:rsidP="003D0455">
      <w:pPr>
        <w:spacing w:after="240"/>
        <w:rPr>
          <w:lang w:eastAsia="zh-CN"/>
        </w:rPr>
      </w:pPr>
      <w:r>
        <w:rPr>
          <w:lang w:eastAsia="zh-CN"/>
        </w:rPr>
        <w:t xml:space="preserve">In the </w:t>
      </w:r>
      <w:r w:rsidR="00C5142B">
        <w:rPr>
          <w:lang w:eastAsia="zh-CN"/>
        </w:rPr>
        <w:t xml:space="preserve">DU, rural and MTC scenarios, the UL data rate is a small percentage of the DL data rate (3% for DU, rural-TDD and </w:t>
      </w:r>
      <w:proofErr w:type="spellStart"/>
      <w:r w:rsidR="00C5142B">
        <w:rPr>
          <w:lang w:eastAsia="zh-CN"/>
        </w:rPr>
        <w:t>mMTC</w:t>
      </w:r>
      <w:proofErr w:type="spellEnd"/>
      <w:r w:rsidR="00C5142B">
        <w:rPr>
          <w:lang w:eastAsia="zh-CN"/>
        </w:rPr>
        <w:t xml:space="preserve"> scenarios). Despite the relatively low UL date rate, UL coverage is still significantly less than DL coverage. The typical UL data rate supported is 0.22Mbps (for the DU and rural-TDD scenarios).</w:t>
      </w:r>
    </w:p>
    <w:p w14:paraId="394BE17A" w14:textId="5119513E" w:rsidR="003E4225" w:rsidRDefault="00915024" w:rsidP="007715B0">
      <w:pPr>
        <w:spacing w:after="240"/>
        <w:rPr>
          <w:lang w:eastAsia="zh-CN"/>
        </w:rPr>
      </w:pPr>
      <w:r>
        <w:rPr>
          <w:lang w:eastAsia="zh-CN"/>
        </w:rPr>
        <w:t xml:space="preserve">The evaluation assumes that the full </w:t>
      </w:r>
      <w:proofErr w:type="spellStart"/>
      <w:r>
        <w:rPr>
          <w:lang w:eastAsia="zh-CN"/>
        </w:rPr>
        <w:t>gNodeB</w:t>
      </w:r>
      <w:proofErr w:type="spellEnd"/>
      <w:r>
        <w:rPr>
          <w:lang w:eastAsia="zh-CN"/>
        </w:rPr>
        <w:t xml:space="preserve"> transmit power and the entire system bandwidth is applied to DL transmissions. In contrast, in the UL the full UE transmit power is applied and the transmission occupies a fraction of the system bandwidth. </w:t>
      </w:r>
      <w:proofErr w:type="gramStart"/>
      <w:r>
        <w:rPr>
          <w:lang w:eastAsia="zh-CN"/>
        </w:rPr>
        <w:t>It is clear that multiple</w:t>
      </w:r>
      <w:proofErr w:type="gramEnd"/>
      <w:r>
        <w:rPr>
          <w:lang w:eastAsia="zh-CN"/>
        </w:rPr>
        <w:t xml:space="preserve"> UEs could be multiplexed in the UL such that </w:t>
      </w:r>
      <w:r>
        <w:rPr>
          <w:lang w:eastAsia="zh-CN"/>
        </w:rPr>
        <w:lastRenderedPageBreak/>
        <w:t xml:space="preserve">the aggregate system UL data rate is more similar to the aggregate system DL data rate than is initially apparent from inspecting the link budgets. </w:t>
      </w:r>
      <w:r w:rsidR="00D84393">
        <w:rPr>
          <w:lang w:eastAsia="zh-CN"/>
        </w:rPr>
        <w:t xml:space="preserve">In the Rel-17 coverage enhancements study, the </w:t>
      </w:r>
      <w:proofErr w:type="spellStart"/>
      <w:r w:rsidR="00D84393">
        <w:rPr>
          <w:lang w:eastAsia="zh-CN"/>
        </w:rPr>
        <w:t>gNB</w:t>
      </w:r>
      <w:proofErr w:type="spellEnd"/>
      <w:r w:rsidR="00D84393">
        <w:rPr>
          <w:lang w:eastAsia="zh-CN"/>
        </w:rPr>
        <w:t xml:space="preserve"> DL power and bandwidth resources should be split between multiple UEs. This is particularly the case for VoIP services where it is unreasonable to assume that the </w:t>
      </w:r>
      <w:proofErr w:type="spellStart"/>
      <w:r w:rsidR="00D84393">
        <w:rPr>
          <w:lang w:eastAsia="zh-CN"/>
        </w:rPr>
        <w:t>gNB’s</w:t>
      </w:r>
      <w:proofErr w:type="spellEnd"/>
      <w:r w:rsidR="00D84393">
        <w:rPr>
          <w:lang w:eastAsia="zh-CN"/>
        </w:rPr>
        <w:t xml:space="preserve"> full transmit power and bandwidth resources are applied to a single VoIP user in the DL.</w:t>
      </w:r>
    </w:p>
    <w:p w14:paraId="534E9AF4" w14:textId="382F1BB2" w:rsidR="007715B0" w:rsidRDefault="007715B0" w:rsidP="007715B0">
      <w:pPr>
        <w:spacing w:after="240"/>
        <w:rPr>
          <w:lang w:eastAsia="zh-CN"/>
        </w:rPr>
      </w:pPr>
      <w:r>
        <w:rPr>
          <w:lang w:eastAsia="zh-CN"/>
        </w:rPr>
        <w:t>We make the following observations relating to the results of the IMT-2020 self-evaluation study:</w:t>
      </w:r>
    </w:p>
    <w:p w14:paraId="650A6935" w14:textId="1A3F6B69" w:rsidR="007715B0" w:rsidRPr="0011132F" w:rsidRDefault="007715B0" w:rsidP="007715B0">
      <w:pPr>
        <w:spacing w:after="240"/>
        <w:rPr>
          <w:b/>
        </w:rPr>
      </w:pPr>
      <w:r w:rsidRPr="0011132F">
        <w:rPr>
          <w:b/>
        </w:rPr>
        <w:t>Observation</w:t>
      </w:r>
      <w:r w:rsidR="0011132F">
        <w:rPr>
          <w:b/>
        </w:rPr>
        <w:t xml:space="preserve"> 1</w:t>
      </w:r>
      <w:r w:rsidRPr="0011132F">
        <w:rPr>
          <w:b/>
        </w:rPr>
        <w:t>: In the IMT-2020 self-evaluation study, in scenarios where the DL coverage is significantly greater than the UL coverage, the DL transmit power is significantly greater than the UL transmit power.</w:t>
      </w:r>
    </w:p>
    <w:p w14:paraId="02464E2A" w14:textId="73F00B10" w:rsidR="007715B0" w:rsidRPr="0011132F" w:rsidRDefault="007715B0" w:rsidP="007715B0">
      <w:pPr>
        <w:spacing w:after="240"/>
        <w:rPr>
          <w:b/>
        </w:rPr>
      </w:pPr>
      <w:r w:rsidRPr="0011132F">
        <w:rPr>
          <w:b/>
        </w:rPr>
        <w:t>Observation</w:t>
      </w:r>
      <w:r w:rsidR="0011132F">
        <w:rPr>
          <w:b/>
        </w:rPr>
        <w:t xml:space="preserve"> 2</w:t>
      </w:r>
      <w:r w:rsidRPr="0011132F">
        <w:rPr>
          <w:b/>
        </w:rPr>
        <w:t xml:space="preserve">: In a loaded system, the DL transmit power and physical resources need to be shared amongst multiple users, which will impact DL coverage. </w:t>
      </w:r>
    </w:p>
    <w:p w14:paraId="6344C7C8" w14:textId="2C4D289E" w:rsidR="007715B0" w:rsidRDefault="007715B0" w:rsidP="007715B0">
      <w:pPr>
        <w:spacing w:after="240"/>
      </w:pPr>
      <w:r w:rsidRPr="0011132F">
        <w:rPr>
          <w:b/>
        </w:rPr>
        <w:t>Observation</w:t>
      </w:r>
      <w:r w:rsidR="0011132F">
        <w:rPr>
          <w:b/>
        </w:rPr>
        <w:t xml:space="preserve"> 3</w:t>
      </w:r>
      <w:r w:rsidRPr="0011132F">
        <w:rPr>
          <w:b/>
        </w:rPr>
        <w:t>: In a loaded system, multiple UL UEs can transmit at the cell edge using orthogonal resources, hence UL coverage should not be impacted.</w:t>
      </w:r>
    </w:p>
    <w:p w14:paraId="63E90293" w14:textId="77777777" w:rsidR="007715B0" w:rsidRDefault="007715B0" w:rsidP="0065314B">
      <w:pPr>
        <w:pStyle w:val="NormalWeb"/>
        <w:spacing w:before="0" w:beforeAutospacing="0" w:after="0" w:afterAutospacing="0"/>
        <w:rPr>
          <w:color w:val="000000" w:themeColor="text1"/>
        </w:rPr>
      </w:pPr>
    </w:p>
    <w:p w14:paraId="00CBB27F" w14:textId="55DC152C" w:rsidR="006C14B5" w:rsidRPr="006C14B5" w:rsidRDefault="006C14B5" w:rsidP="006C14B5">
      <w:pPr>
        <w:pStyle w:val="Heading1"/>
        <w:rPr>
          <w:lang w:eastAsia="zh-CN"/>
        </w:rPr>
      </w:pPr>
      <w:r>
        <w:rPr>
          <w:lang w:eastAsia="zh-CN"/>
        </w:rPr>
        <w:t>Methodology of determining coverage</w:t>
      </w:r>
    </w:p>
    <w:p w14:paraId="3D664F09" w14:textId="35A17A1D" w:rsidR="00B95FA0" w:rsidRDefault="00B95FA0" w:rsidP="00B95FA0">
      <w:pPr>
        <w:spacing w:after="240"/>
        <w:rPr>
          <w:lang w:val="en-GB"/>
        </w:rPr>
      </w:pPr>
      <w:r>
        <w:rPr>
          <w:lang w:val="en-GB"/>
        </w:rPr>
        <w:t>It is proposed that RAN1 initially considers data channels, since PUSCH was observed to be the coverage-limiting channel in the IMT-2020 self-evaluation study and PDSCH coverage can be used to compare data channel coverage imbalance.</w:t>
      </w:r>
    </w:p>
    <w:p w14:paraId="0ED68A86" w14:textId="7787AB1A" w:rsidR="003A0020" w:rsidRPr="003A0020" w:rsidRDefault="003A0020" w:rsidP="00B95FA0">
      <w:pPr>
        <w:spacing w:after="240"/>
        <w:rPr>
          <w:b/>
          <w:lang w:val="en-GB"/>
        </w:rPr>
      </w:pPr>
      <w:r w:rsidRPr="003A0020">
        <w:rPr>
          <w:b/>
          <w:lang w:val="en-GB"/>
        </w:rPr>
        <w:t>Proposal</w:t>
      </w:r>
      <w:r w:rsidR="0011132F">
        <w:rPr>
          <w:b/>
          <w:lang w:val="en-GB"/>
        </w:rPr>
        <w:t xml:space="preserve"> 1</w:t>
      </w:r>
      <w:r w:rsidRPr="003A0020">
        <w:rPr>
          <w:b/>
          <w:lang w:val="en-GB"/>
        </w:rPr>
        <w:t xml:space="preserve">: </w:t>
      </w:r>
      <w:r>
        <w:rPr>
          <w:b/>
          <w:lang w:val="en-GB"/>
        </w:rPr>
        <w:t>RAN1 initially considers data channel coverage based on simulation assumptions for data channels</w:t>
      </w:r>
      <w:r w:rsidRPr="003A0020">
        <w:rPr>
          <w:b/>
          <w:lang w:val="en-GB"/>
        </w:rPr>
        <w:t>.</w:t>
      </w:r>
    </w:p>
    <w:p w14:paraId="5F2ED096" w14:textId="60245A20" w:rsidR="003A0020" w:rsidRDefault="00641ADD" w:rsidP="00232A0A">
      <w:pPr>
        <w:spacing w:after="240"/>
        <w:rPr>
          <w:lang w:val="en-GB"/>
        </w:rPr>
      </w:pPr>
      <w:r>
        <w:rPr>
          <w:lang w:val="en-GB"/>
        </w:rPr>
        <w:t xml:space="preserve">As the SID states, the coverage of NR channels should be </w:t>
      </w:r>
      <w:r w:rsidR="003A0020">
        <w:rPr>
          <w:lang w:val="en-GB"/>
        </w:rPr>
        <w:t xml:space="preserve">based on link level simulation. Link level simulations can be used to derive an SNR operating point for each channel in question. </w:t>
      </w:r>
    </w:p>
    <w:p w14:paraId="6DA26D6A" w14:textId="14219A46" w:rsidR="003A0020" w:rsidRPr="003A0020" w:rsidRDefault="003A0020" w:rsidP="00232A0A">
      <w:pPr>
        <w:spacing w:after="240"/>
        <w:rPr>
          <w:b/>
          <w:lang w:val="en-GB"/>
        </w:rPr>
      </w:pPr>
      <w:r w:rsidRPr="003A0020">
        <w:rPr>
          <w:b/>
          <w:lang w:val="en-GB"/>
        </w:rPr>
        <w:t>Proposal</w:t>
      </w:r>
      <w:r w:rsidR="0011132F">
        <w:rPr>
          <w:b/>
          <w:lang w:val="en-GB"/>
        </w:rPr>
        <w:t xml:space="preserve"> 2</w:t>
      </w:r>
      <w:r w:rsidRPr="003A0020">
        <w:rPr>
          <w:b/>
          <w:lang w:val="en-GB"/>
        </w:rPr>
        <w:t>: Coverage is calculated using link level simulations.</w:t>
      </w:r>
    </w:p>
    <w:p w14:paraId="346CF7E0" w14:textId="29215AEE" w:rsidR="003A0020" w:rsidRDefault="003A0020" w:rsidP="00232A0A">
      <w:pPr>
        <w:spacing w:after="240"/>
        <w:rPr>
          <w:lang w:val="en-GB"/>
        </w:rPr>
      </w:pPr>
      <w:r>
        <w:rPr>
          <w:lang w:val="en-GB"/>
        </w:rPr>
        <w:t>Coverage may be determined using a link budget, once the SNR operating point is known. The link budget is only required to produce a “hardware link budget” (using the terminology from the IMT-2020 self-evaluation study) and RAN1 doesn’t need to consider terms outside the 3GPP link (such as shadow fading margins, building penetration losses etc). RAN1 also does not need to determine a range / distance in order to determine coverage.</w:t>
      </w:r>
    </w:p>
    <w:p w14:paraId="7FAA1328" w14:textId="68373FC9" w:rsidR="003A0020" w:rsidRPr="003A0020" w:rsidRDefault="003A0020" w:rsidP="00232A0A">
      <w:pPr>
        <w:spacing w:after="240"/>
        <w:rPr>
          <w:b/>
          <w:lang w:val="en-GB"/>
        </w:rPr>
      </w:pPr>
      <w:r w:rsidRPr="003A0020">
        <w:rPr>
          <w:b/>
          <w:lang w:val="en-GB"/>
        </w:rPr>
        <w:t>Proposal</w:t>
      </w:r>
      <w:r w:rsidR="0011132F">
        <w:rPr>
          <w:b/>
          <w:lang w:val="en-GB"/>
        </w:rPr>
        <w:t xml:space="preserve"> 3</w:t>
      </w:r>
      <w:r w:rsidRPr="003A0020">
        <w:rPr>
          <w:b/>
          <w:lang w:val="en-GB"/>
        </w:rPr>
        <w:t>: Coverage is calculated as the “hardware link budget” from the IMT-2020 self-evaluation study.</w:t>
      </w:r>
    </w:p>
    <w:p w14:paraId="41167C2C" w14:textId="59D6643A" w:rsidR="003A0020" w:rsidRDefault="003A0020" w:rsidP="00232A0A">
      <w:pPr>
        <w:spacing w:after="240"/>
        <w:rPr>
          <w:lang w:val="en-GB"/>
        </w:rPr>
      </w:pPr>
      <w:r>
        <w:rPr>
          <w:lang w:val="en-GB"/>
        </w:rPr>
        <w:t xml:space="preserve">In determining a link budget, RAN1 should </w:t>
      </w:r>
      <w:r w:rsidR="00021B20">
        <w:rPr>
          <w:lang w:val="en-GB"/>
        </w:rPr>
        <w:t xml:space="preserve">agree on a set of common parameters (such as cable / connector loss, implementation margin, noise figure, power boosting gain, target BLER etc.). </w:t>
      </w:r>
      <w:proofErr w:type="gramStart"/>
      <w:r w:rsidR="00021B20">
        <w:rPr>
          <w:lang w:val="en-GB"/>
        </w:rPr>
        <w:t>As long as</w:t>
      </w:r>
      <w:proofErr w:type="gramEnd"/>
      <w:r w:rsidR="00021B20">
        <w:rPr>
          <w:lang w:val="en-GB"/>
        </w:rPr>
        <w:t xml:space="preserve"> all companies use a common set of such parameters, conclusions based on link budgets should be consistent. The parameters used in the IMT-2020 self-evaluation study can be used as a starting point. Values of some of the common parameters used in the IMT-2020 self-evaluation study for rural TDD scenarios are given in </w:t>
      </w:r>
      <w:r w:rsidR="003E6854">
        <w:rPr>
          <w:lang w:val="en-GB"/>
        </w:rPr>
        <w:fldChar w:fldCharType="begin"/>
      </w:r>
      <w:r w:rsidR="003E6854">
        <w:rPr>
          <w:lang w:val="en-GB"/>
        </w:rPr>
        <w:instrText xml:space="preserve"> REF _Ref40392621 \h </w:instrText>
      </w:r>
      <w:r w:rsidR="003E6854">
        <w:rPr>
          <w:lang w:val="en-GB"/>
        </w:rPr>
      </w:r>
      <w:r w:rsidR="003E6854">
        <w:rPr>
          <w:lang w:val="en-GB"/>
        </w:rPr>
        <w:fldChar w:fldCharType="separate"/>
      </w:r>
      <w:r w:rsidR="003E6854">
        <w:t xml:space="preserve">Table </w:t>
      </w:r>
      <w:r w:rsidR="003E6854">
        <w:rPr>
          <w:noProof/>
        </w:rPr>
        <w:t>2</w:t>
      </w:r>
      <w:r w:rsidR="003E6854">
        <w:rPr>
          <w:lang w:val="en-GB"/>
        </w:rPr>
        <w:fldChar w:fldCharType="end"/>
      </w:r>
      <w:r w:rsidR="00021B20">
        <w:rPr>
          <w:lang w:val="en-GB"/>
        </w:rPr>
        <w:t>.</w:t>
      </w:r>
    </w:p>
    <w:p w14:paraId="07332E5E" w14:textId="5C6E8A19" w:rsidR="003E6854" w:rsidRDefault="003E6854" w:rsidP="003E6854">
      <w:pPr>
        <w:pStyle w:val="Caption"/>
        <w:jc w:val="center"/>
      </w:pPr>
      <w:bookmarkStart w:id="4" w:name="_Ref40392621"/>
      <w:r>
        <w:t xml:space="preserve">Table </w:t>
      </w:r>
      <w:r>
        <w:fldChar w:fldCharType="begin"/>
      </w:r>
      <w:r>
        <w:instrText xml:space="preserve"> SEQ Table \* ARABIC </w:instrText>
      </w:r>
      <w:r>
        <w:fldChar w:fldCharType="separate"/>
      </w:r>
      <w:r>
        <w:rPr>
          <w:noProof/>
        </w:rPr>
        <w:t>2</w:t>
      </w:r>
      <w:r>
        <w:fldChar w:fldCharType="end"/>
      </w:r>
      <w:bookmarkEnd w:id="4"/>
      <w:r>
        <w:t xml:space="preserve"> - Common parameter link budget parameter values</w:t>
      </w:r>
    </w:p>
    <w:tbl>
      <w:tblPr>
        <w:tblStyle w:val="TableGrid"/>
        <w:tblW w:w="0" w:type="auto"/>
        <w:jc w:val="center"/>
        <w:tblLook w:val="04A0" w:firstRow="1" w:lastRow="0" w:firstColumn="1" w:lastColumn="0" w:noHBand="0" w:noVBand="1"/>
      </w:tblPr>
      <w:tblGrid>
        <w:gridCol w:w="3775"/>
        <w:gridCol w:w="3960"/>
      </w:tblGrid>
      <w:tr w:rsidR="00021B20" w:rsidRPr="003E6854" w14:paraId="61A5C320" w14:textId="77777777" w:rsidTr="003E6854">
        <w:trPr>
          <w:jc w:val="center"/>
        </w:trPr>
        <w:tc>
          <w:tcPr>
            <w:tcW w:w="3775" w:type="dxa"/>
            <w:shd w:val="clear" w:color="auto" w:fill="BFBFBF" w:themeFill="background1" w:themeFillShade="BF"/>
          </w:tcPr>
          <w:p w14:paraId="5FB9315D" w14:textId="3EC11873" w:rsidR="00021B20" w:rsidRPr="003E6854" w:rsidRDefault="00021B20" w:rsidP="003E6854">
            <w:pPr>
              <w:spacing w:after="0"/>
              <w:rPr>
                <w:rFonts w:ascii="Arial" w:hAnsi="Arial" w:cs="Arial"/>
                <w:b/>
                <w:sz w:val="20"/>
                <w:szCs w:val="20"/>
                <w:lang w:val="en-GB"/>
              </w:rPr>
            </w:pPr>
            <w:r w:rsidRPr="003E6854">
              <w:rPr>
                <w:rFonts w:ascii="Arial" w:hAnsi="Arial" w:cs="Arial"/>
                <w:b/>
                <w:sz w:val="20"/>
                <w:szCs w:val="20"/>
                <w:lang w:val="en-GB"/>
              </w:rPr>
              <w:t>Link budget parameter</w:t>
            </w:r>
          </w:p>
        </w:tc>
        <w:tc>
          <w:tcPr>
            <w:tcW w:w="3960" w:type="dxa"/>
            <w:shd w:val="clear" w:color="auto" w:fill="BFBFBF" w:themeFill="background1" w:themeFillShade="BF"/>
          </w:tcPr>
          <w:p w14:paraId="5EA7AD07" w14:textId="50E59DCA" w:rsidR="00021B20" w:rsidRPr="003E6854" w:rsidRDefault="00021B20" w:rsidP="003E6854">
            <w:pPr>
              <w:spacing w:after="0"/>
              <w:rPr>
                <w:rFonts w:ascii="Arial" w:hAnsi="Arial" w:cs="Arial"/>
                <w:b/>
                <w:sz w:val="20"/>
                <w:szCs w:val="20"/>
                <w:lang w:val="en-GB"/>
              </w:rPr>
            </w:pPr>
            <w:r w:rsidRPr="003E6854">
              <w:rPr>
                <w:rFonts w:ascii="Arial" w:hAnsi="Arial" w:cs="Arial"/>
                <w:b/>
                <w:sz w:val="20"/>
                <w:szCs w:val="20"/>
                <w:lang w:val="en-GB"/>
              </w:rPr>
              <w:t>value</w:t>
            </w:r>
          </w:p>
        </w:tc>
      </w:tr>
      <w:tr w:rsidR="00021B20" w:rsidRPr="003E6854" w14:paraId="369C32A7" w14:textId="77777777" w:rsidTr="003E6854">
        <w:trPr>
          <w:jc w:val="center"/>
        </w:trPr>
        <w:tc>
          <w:tcPr>
            <w:tcW w:w="3775" w:type="dxa"/>
          </w:tcPr>
          <w:p w14:paraId="2F3B9DCF" w14:textId="5ED6C8D6" w:rsidR="00021B20" w:rsidRPr="003E6854" w:rsidRDefault="003E6854" w:rsidP="003E6854">
            <w:pPr>
              <w:spacing w:after="0"/>
              <w:rPr>
                <w:rFonts w:ascii="Arial" w:hAnsi="Arial" w:cs="Arial"/>
                <w:sz w:val="20"/>
                <w:szCs w:val="20"/>
                <w:lang w:val="en-GB"/>
              </w:rPr>
            </w:pPr>
            <w:r>
              <w:rPr>
                <w:rFonts w:ascii="Arial" w:hAnsi="Arial" w:cs="Arial"/>
                <w:sz w:val="20"/>
                <w:szCs w:val="20"/>
                <w:lang w:val="en-GB"/>
              </w:rPr>
              <w:t>Target BLER</w:t>
            </w:r>
          </w:p>
        </w:tc>
        <w:tc>
          <w:tcPr>
            <w:tcW w:w="3960" w:type="dxa"/>
          </w:tcPr>
          <w:p w14:paraId="1D21D95B" w14:textId="3C65BF46" w:rsidR="00021B20" w:rsidRPr="003E6854" w:rsidRDefault="003E6854" w:rsidP="003E6854">
            <w:pPr>
              <w:spacing w:after="0"/>
              <w:rPr>
                <w:rFonts w:ascii="Arial" w:hAnsi="Arial" w:cs="Arial"/>
                <w:sz w:val="20"/>
                <w:szCs w:val="20"/>
                <w:lang w:val="en-GB"/>
              </w:rPr>
            </w:pPr>
            <w:r>
              <w:rPr>
                <w:rFonts w:ascii="Arial" w:hAnsi="Arial" w:cs="Arial"/>
                <w:sz w:val="20"/>
                <w:szCs w:val="20"/>
                <w:lang w:val="en-GB"/>
              </w:rPr>
              <w:t>10%</w:t>
            </w:r>
          </w:p>
        </w:tc>
      </w:tr>
      <w:tr w:rsidR="00021B20" w:rsidRPr="003E6854" w14:paraId="7079E089" w14:textId="77777777" w:rsidTr="003E6854">
        <w:trPr>
          <w:jc w:val="center"/>
        </w:trPr>
        <w:tc>
          <w:tcPr>
            <w:tcW w:w="3775" w:type="dxa"/>
          </w:tcPr>
          <w:p w14:paraId="21500C28" w14:textId="2DE0479C" w:rsidR="00021B20" w:rsidRPr="003E6854" w:rsidRDefault="003E6854" w:rsidP="003E6854">
            <w:pPr>
              <w:spacing w:after="0"/>
              <w:rPr>
                <w:rFonts w:ascii="Arial" w:hAnsi="Arial" w:cs="Arial"/>
                <w:sz w:val="20"/>
                <w:szCs w:val="20"/>
                <w:lang w:val="en-GB"/>
              </w:rPr>
            </w:pPr>
            <w:r>
              <w:rPr>
                <w:rFonts w:ascii="Arial" w:hAnsi="Arial" w:cs="Arial"/>
                <w:sz w:val="20"/>
                <w:szCs w:val="20"/>
                <w:lang w:val="en-GB"/>
              </w:rPr>
              <w:t>Cable and connector losses</w:t>
            </w:r>
          </w:p>
        </w:tc>
        <w:tc>
          <w:tcPr>
            <w:tcW w:w="3960" w:type="dxa"/>
          </w:tcPr>
          <w:p w14:paraId="363CA83A" w14:textId="77777777" w:rsidR="00021B20" w:rsidRDefault="003E6854" w:rsidP="003E6854">
            <w:pPr>
              <w:spacing w:after="0"/>
              <w:rPr>
                <w:rFonts w:ascii="Arial" w:hAnsi="Arial" w:cs="Arial"/>
                <w:sz w:val="20"/>
                <w:szCs w:val="20"/>
                <w:lang w:val="en-GB"/>
              </w:rPr>
            </w:pPr>
            <w:r>
              <w:rPr>
                <w:rFonts w:ascii="Arial" w:hAnsi="Arial" w:cs="Arial"/>
                <w:sz w:val="20"/>
                <w:szCs w:val="20"/>
                <w:lang w:val="en-GB"/>
              </w:rPr>
              <w:t>UL: 1dB</w:t>
            </w:r>
          </w:p>
          <w:p w14:paraId="16EF2C0E" w14:textId="66B19849" w:rsidR="003E6854" w:rsidRPr="003E6854" w:rsidRDefault="003E6854" w:rsidP="003E6854">
            <w:pPr>
              <w:spacing w:after="0"/>
              <w:rPr>
                <w:rFonts w:ascii="Arial" w:hAnsi="Arial" w:cs="Arial"/>
                <w:sz w:val="20"/>
                <w:szCs w:val="20"/>
                <w:lang w:val="en-GB"/>
              </w:rPr>
            </w:pPr>
            <w:r>
              <w:rPr>
                <w:rFonts w:ascii="Arial" w:hAnsi="Arial" w:cs="Arial"/>
                <w:sz w:val="20"/>
                <w:szCs w:val="20"/>
                <w:lang w:val="en-GB"/>
              </w:rPr>
              <w:t>DL: 3dB</w:t>
            </w:r>
          </w:p>
        </w:tc>
      </w:tr>
      <w:tr w:rsidR="00021B20" w:rsidRPr="003E6854" w14:paraId="5B58A70A" w14:textId="77777777" w:rsidTr="003E6854">
        <w:trPr>
          <w:jc w:val="center"/>
        </w:trPr>
        <w:tc>
          <w:tcPr>
            <w:tcW w:w="3775" w:type="dxa"/>
          </w:tcPr>
          <w:p w14:paraId="0EA7E49A" w14:textId="2556AB67" w:rsidR="00021B20" w:rsidRPr="003E6854" w:rsidRDefault="00022985" w:rsidP="003E6854">
            <w:pPr>
              <w:spacing w:after="0"/>
              <w:rPr>
                <w:rFonts w:ascii="Arial" w:hAnsi="Arial" w:cs="Arial"/>
                <w:sz w:val="20"/>
                <w:szCs w:val="20"/>
                <w:lang w:val="en-GB"/>
              </w:rPr>
            </w:pPr>
            <w:proofErr w:type="spellStart"/>
            <w:r>
              <w:rPr>
                <w:rFonts w:ascii="Arial" w:hAnsi="Arial" w:cs="Arial"/>
                <w:sz w:val="20"/>
                <w:szCs w:val="20"/>
                <w:lang w:val="en-GB"/>
              </w:rPr>
              <w:lastRenderedPageBreak/>
              <w:t>gNB</w:t>
            </w:r>
            <w:proofErr w:type="spellEnd"/>
            <w:r>
              <w:rPr>
                <w:rFonts w:ascii="Arial" w:hAnsi="Arial" w:cs="Arial"/>
                <w:sz w:val="20"/>
                <w:szCs w:val="20"/>
                <w:lang w:val="en-GB"/>
              </w:rPr>
              <w:t xml:space="preserve"> TX/RX antenna gain</w:t>
            </w:r>
          </w:p>
        </w:tc>
        <w:tc>
          <w:tcPr>
            <w:tcW w:w="3960" w:type="dxa"/>
          </w:tcPr>
          <w:p w14:paraId="59F9B319" w14:textId="16391CB0" w:rsidR="00021B20" w:rsidRPr="003E6854" w:rsidRDefault="00022985" w:rsidP="003E6854">
            <w:pPr>
              <w:spacing w:after="0"/>
              <w:rPr>
                <w:rFonts w:ascii="Arial" w:hAnsi="Arial" w:cs="Arial"/>
                <w:sz w:val="20"/>
                <w:szCs w:val="20"/>
                <w:lang w:val="en-GB"/>
              </w:rPr>
            </w:pPr>
            <w:r>
              <w:rPr>
                <w:rFonts w:ascii="Arial" w:hAnsi="Arial" w:cs="Arial"/>
                <w:sz w:val="20"/>
                <w:szCs w:val="20"/>
                <w:lang w:val="en-GB"/>
              </w:rPr>
              <w:t>8dB</w:t>
            </w:r>
          </w:p>
        </w:tc>
      </w:tr>
      <w:tr w:rsidR="003E6854" w:rsidRPr="003E6854" w14:paraId="74AE7E78" w14:textId="77777777" w:rsidTr="003E6854">
        <w:trPr>
          <w:jc w:val="center"/>
        </w:trPr>
        <w:tc>
          <w:tcPr>
            <w:tcW w:w="3775" w:type="dxa"/>
          </w:tcPr>
          <w:p w14:paraId="730D061E" w14:textId="3D1F0ECE" w:rsidR="003E6854" w:rsidRPr="003E6854" w:rsidRDefault="003E6854" w:rsidP="003E6854">
            <w:pPr>
              <w:spacing w:after="0"/>
              <w:rPr>
                <w:rFonts w:ascii="Arial" w:hAnsi="Arial" w:cs="Arial"/>
                <w:sz w:val="20"/>
                <w:szCs w:val="20"/>
                <w:lang w:val="en-GB"/>
              </w:rPr>
            </w:pPr>
            <w:r>
              <w:rPr>
                <w:rFonts w:ascii="Arial" w:eastAsia="MS Mincho" w:hAnsi="Arial" w:cs="Arial"/>
                <w:color w:val="000000" w:themeColor="text1"/>
                <w:sz w:val="20"/>
                <w:szCs w:val="20"/>
                <w:lang w:eastAsia="ja-JP"/>
              </w:rPr>
              <w:t>UE total transmit power</w:t>
            </w:r>
          </w:p>
        </w:tc>
        <w:tc>
          <w:tcPr>
            <w:tcW w:w="3960" w:type="dxa"/>
          </w:tcPr>
          <w:p w14:paraId="55B0A4C8" w14:textId="6B87BE7D" w:rsidR="003E6854" w:rsidRPr="003E6854" w:rsidRDefault="003E6854" w:rsidP="003E6854">
            <w:pPr>
              <w:spacing w:after="0"/>
              <w:rPr>
                <w:rFonts w:ascii="Arial" w:hAnsi="Arial" w:cs="Arial"/>
                <w:sz w:val="20"/>
                <w:szCs w:val="20"/>
                <w:lang w:val="en-GB"/>
              </w:rPr>
            </w:pPr>
            <w:r>
              <w:rPr>
                <w:rFonts w:ascii="Arial" w:eastAsia="MS Mincho" w:hAnsi="Arial" w:cs="Arial"/>
                <w:color w:val="000000" w:themeColor="text1"/>
                <w:sz w:val="20"/>
                <w:szCs w:val="20"/>
                <w:lang w:eastAsia="ja-JP"/>
              </w:rPr>
              <w:t>23dBm</w:t>
            </w:r>
          </w:p>
        </w:tc>
      </w:tr>
      <w:tr w:rsidR="003E6854" w:rsidRPr="003E6854" w14:paraId="6BBF74B4" w14:textId="77777777" w:rsidTr="003E6854">
        <w:trPr>
          <w:jc w:val="center"/>
        </w:trPr>
        <w:tc>
          <w:tcPr>
            <w:tcW w:w="3775" w:type="dxa"/>
          </w:tcPr>
          <w:p w14:paraId="6536BE6C" w14:textId="51A3B074" w:rsidR="003E6854" w:rsidRPr="003E6854" w:rsidRDefault="003E6854" w:rsidP="003E6854">
            <w:pPr>
              <w:spacing w:after="0"/>
              <w:rPr>
                <w:rFonts w:ascii="Arial" w:hAnsi="Arial" w:cs="Arial"/>
                <w:sz w:val="20"/>
                <w:szCs w:val="20"/>
                <w:lang w:val="en-GB"/>
              </w:rPr>
            </w:pPr>
            <w:proofErr w:type="spellStart"/>
            <w:r>
              <w:rPr>
                <w:rFonts w:ascii="Arial" w:eastAsia="MS Mincho" w:hAnsi="Arial" w:cs="Arial"/>
                <w:color w:val="000000" w:themeColor="text1"/>
                <w:sz w:val="20"/>
                <w:szCs w:val="20"/>
                <w:lang w:eastAsia="ja-JP"/>
              </w:rPr>
              <w:t>gNodeB</w:t>
            </w:r>
            <w:proofErr w:type="spellEnd"/>
            <w:r>
              <w:rPr>
                <w:rFonts w:ascii="Arial" w:eastAsia="MS Mincho" w:hAnsi="Arial" w:cs="Arial"/>
                <w:color w:val="000000" w:themeColor="text1"/>
                <w:sz w:val="20"/>
                <w:szCs w:val="20"/>
                <w:lang w:eastAsia="ja-JP"/>
              </w:rPr>
              <w:t xml:space="preserve"> total transmit power</w:t>
            </w:r>
          </w:p>
        </w:tc>
        <w:tc>
          <w:tcPr>
            <w:tcW w:w="3960" w:type="dxa"/>
          </w:tcPr>
          <w:p w14:paraId="003426C1" w14:textId="0FB5337A" w:rsidR="003E6854" w:rsidRPr="003E6854" w:rsidRDefault="003E6854" w:rsidP="003E6854">
            <w:pPr>
              <w:spacing w:after="0"/>
              <w:rPr>
                <w:rFonts w:ascii="Arial" w:hAnsi="Arial" w:cs="Arial"/>
                <w:sz w:val="20"/>
                <w:szCs w:val="20"/>
                <w:lang w:val="en-GB"/>
              </w:rPr>
            </w:pPr>
            <w:r>
              <w:rPr>
                <w:rFonts w:ascii="Arial" w:eastAsia="MS Mincho" w:hAnsi="Arial" w:cs="Arial"/>
                <w:color w:val="000000" w:themeColor="text1"/>
                <w:sz w:val="20"/>
                <w:szCs w:val="20"/>
                <w:lang w:eastAsia="ja-JP"/>
              </w:rPr>
              <w:t>46dBm</w:t>
            </w:r>
          </w:p>
        </w:tc>
      </w:tr>
      <w:tr w:rsidR="00022985" w:rsidRPr="003E6854" w14:paraId="7F61E9A2" w14:textId="77777777" w:rsidTr="003E6854">
        <w:trPr>
          <w:jc w:val="center"/>
        </w:trPr>
        <w:tc>
          <w:tcPr>
            <w:tcW w:w="3775" w:type="dxa"/>
          </w:tcPr>
          <w:p w14:paraId="043E55F1" w14:textId="21E795C1" w:rsidR="00022985" w:rsidRDefault="00022985" w:rsidP="003E6854">
            <w:pPr>
              <w:spacing w:after="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UE noise figure</w:t>
            </w:r>
          </w:p>
        </w:tc>
        <w:tc>
          <w:tcPr>
            <w:tcW w:w="3960" w:type="dxa"/>
          </w:tcPr>
          <w:p w14:paraId="6673B133" w14:textId="2C7F1363" w:rsidR="00022985" w:rsidRDefault="00022985" w:rsidP="003E6854">
            <w:pPr>
              <w:spacing w:after="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7dB</w:t>
            </w:r>
          </w:p>
        </w:tc>
      </w:tr>
      <w:tr w:rsidR="00022985" w:rsidRPr="003E6854" w14:paraId="7C1C79B5" w14:textId="77777777" w:rsidTr="003E6854">
        <w:trPr>
          <w:jc w:val="center"/>
        </w:trPr>
        <w:tc>
          <w:tcPr>
            <w:tcW w:w="3775" w:type="dxa"/>
          </w:tcPr>
          <w:p w14:paraId="74E5F618" w14:textId="6150CDB0" w:rsidR="00022985" w:rsidRDefault="00022985" w:rsidP="003E6854">
            <w:pPr>
              <w:spacing w:after="0"/>
              <w:rPr>
                <w:rFonts w:ascii="Arial" w:eastAsia="MS Mincho" w:hAnsi="Arial" w:cs="Arial"/>
                <w:color w:val="000000" w:themeColor="text1"/>
                <w:sz w:val="20"/>
                <w:szCs w:val="20"/>
                <w:lang w:eastAsia="ja-JP"/>
              </w:rPr>
            </w:pPr>
            <w:proofErr w:type="spellStart"/>
            <w:r>
              <w:rPr>
                <w:rFonts w:ascii="Arial" w:eastAsia="MS Mincho" w:hAnsi="Arial" w:cs="Arial"/>
                <w:color w:val="000000" w:themeColor="text1"/>
                <w:sz w:val="20"/>
                <w:szCs w:val="20"/>
                <w:lang w:eastAsia="ja-JP"/>
              </w:rPr>
              <w:t>gNB</w:t>
            </w:r>
            <w:proofErr w:type="spellEnd"/>
            <w:r>
              <w:rPr>
                <w:rFonts w:ascii="Arial" w:eastAsia="MS Mincho" w:hAnsi="Arial" w:cs="Arial"/>
                <w:color w:val="000000" w:themeColor="text1"/>
                <w:sz w:val="20"/>
                <w:szCs w:val="20"/>
                <w:lang w:eastAsia="ja-JP"/>
              </w:rPr>
              <w:t xml:space="preserve"> noise figure</w:t>
            </w:r>
          </w:p>
        </w:tc>
        <w:tc>
          <w:tcPr>
            <w:tcW w:w="3960" w:type="dxa"/>
          </w:tcPr>
          <w:p w14:paraId="351EDD4C" w14:textId="1E640AD4" w:rsidR="00022985" w:rsidRDefault="00022985" w:rsidP="003E6854">
            <w:pPr>
              <w:spacing w:after="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5dB</w:t>
            </w:r>
          </w:p>
        </w:tc>
      </w:tr>
      <w:tr w:rsidR="00022985" w:rsidRPr="003E6854" w14:paraId="3AFB9190" w14:textId="77777777" w:rsidTr="003E6854">
        <w:trPr>
          <w:jc w:val="center"/>
        </w:trPr>
        <w:tc>
          <w:tcPr>
            <w:tcW w:w="3775" w:type="dxa"/>
          </w:tcPr>
          <w:p w14:paraId="254D9D8D" w14:textId="48E11CA1" w:rsidR="00022985" w:rsidRDefault="00022985" w:rsidP="003E6854">
            <w:pPr>
              <w:spacing w:after="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Receiver implementation margin</w:t>
            </w:r>
          </w:p>
        </w:tc>
        <w:tc>
          <w:tcPr>
            <w:tcW w:w="3960" w:type="dxa"/>
          </w:tcPr>
          <w:p w14:paraId="2DA2008B" w14:textId="77028D17" w:rsidR="00022985" w:rsidRDefault="00022985" w:rsidP="003E6854">
            <w:pPr>
              <w:spacing w:after="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2dB</w:t>
            </w:r>
          </w:p>
        </w:tc>
      </w:tr>
    </w:tbl>
    <w:p w14:paraId="147EDEB0" w14:textId="77777777" w:rsidR="00021B20" w:rsidRDefault="00021B20" w:rsidP="00232A0A">
      <w:pPr>
        <w:spacing w:after="240"/>
        <w:rPr>
          <w:lang w:val="en-GB"/>
        </w:rPr>
      </w:pPr>
    </w:p>
    <w:p w14:paraId="2E47CD6F" w14:textId="7BB65379" w:rsidR="00021B20" w:rsidRDefault="00021B20" w:rsidP="00232A0A">
      <w:pPr>
        <w:spacing w:after="240"/>
        <w:rPr>
          <w:lang w:val="en-GB"/>
        </w:rPr>
      </w:pPr>
      <w:r w:rsidRPr="00022985">
        <w:rPr>
          <w:b/>
          <w:lang w:val="en-GB"/>
        </w:rPr>
        <w:t>Proposal</w:t>
      </w:r>
      <w:r w:rsidR="0011132F">
        <w:rPr>
          <w:b/>
          <w:lang w:val="en-GB"/>
        </w:rPr>
        <w:t xml:space="preserve"> 4</w:t>
      </w:r>
      <w:r w:rsidRPr="00022985">
        <w:rPr>
          <w:b/>
          <w:lang w:val="en-GB"/>
        </w:rPr>
        <w:t>: RAN1 agrees on values for a set of common parameters to be used in the link budget, including cable / connector loss, implementation margin, noise figure, power boosting gain, target BLER</w:t>
      </w:r>
      <w:r>
        <w:rPr>
          <w:lang w:val="en-GB"/>
        </w:rPr>
        <w:t>.</w:t>
      </w:r>
    </w:p>
    <w:p w14:paraId="3C453DA3" w14:textId="158C2926" w:rsidR="008E4F13" w:rsidRDefault="008E4F13" w:rsidP="00232A0A">
      <w:pPr>
        <w:spacing w:after="240"/>
        <w:rPr>
          <w:lang w:val="en-GB"/>
        </w:rPr>
      </w:pPr>
      <w:r>
        <w:rPr>
          <w:lang w:val="en-GB"/>
        </w:rPr>
        <w:t>The focus of the study should be on improving NR coverage, rather than on balancing UL and DL link budgets. Hence a coverage target should be defined and RAN1</w:t>
      </w:r>
      <w:r w:rsidR="007715B0">
        <w:rPr>
          <w:lang w:val="en-GB"/>
        </w:rPr>
        <w:t xml:space="preserve"> should aim to meet that coverage target.</w:t>
      </w:r>
    </w:p>
    <w:p w14:paraId="2A876487" w14:textId="3FC55117" w:rsidR="007715B0" w:rsidRDefault="007715B0" w:rsidP="007715B0">
      <w:pPr>
        <w:spacing w:after="240"/>
        <w:rPr>
          <w:lang w:val="en-GB"/>
        </w:rPr>
      </w:pPr>
      <w:r w:rsidRPr="00022985">
        <w:rPr>
          <w:b/>
          <w:lang w:val="en-GB"/>
        </w:rPr>
        <w:t>Proposal</w:t>
      </w:r>
      <w:r w:rsidR="0011132F">
        <w:rPr>
          <w:b/>
          <w:lang w:val="en-GB"/>
        </w:rPr>
        <w:t xml:space="preserve"> 5</w:t>
      </w:r>
      <w:r w:rsidRPr="00022985">
        <w:rPr>
          <w:b/>
          <w:lang w:val="en-GB"/>
        </w:rPr>
        <w:t xml:space="preserve">: </w:t>
      </w:r>
      <w:r>
        <w:rPr>
          <w:b/>
          <w:lang w:val="en-GB"/>
        </w:rPr>
        <w:t>The study aims to achieve a target for enhanced coverage, rather than to balance UL / DL and control / data coverage</w:t>
      </w:r>
      <w:r>
        <w:rPr>
          <w:lang w:val="en-GB"/>
        </w:rPr>
        <w:t>.</w:t>
      </w:r>
    </w:p>
    <w:p w14:paraId="126C4234" w14:textId="67811A50" w:rsidR="006C14B5" w:rsidRDefault="00022985" w:rsidP="00232A0A">
      <w:pPr>
        <w:spacing w:after="240"/>
      </w:pPr>
      <w:r>
        <w:t xml:space="preserve">Additionally, in order to simplify analysis, our preference is that an interference density term is not used in the link budget </w:t>
      </w:r>
      <w:r w:rsidR="009B5E87">
        <w:t xml:space="preserve">and </w:t>
      </w:r>
      <w:r>
        <w:t xml:space="preserve">calculations are based on noise density. </w:t>
      </w:r>
    </w:p>
    <w:p w14:paraId="4125D2F6" w14:textId="6502E62A" w:rsidR="00B95FA0" w:rsidRPr="00B95FA0" w:rsidRDefault="006C14B5" w:rsidP="00B95FA0">
      <w:pPr>
        <w:pStyle w:val="Heading1"/>
        <w:rPr>
          <w:lang w:eastAsia="zh-CN"/>
        </w:rPr>
      </w:pPr>
      <w:r>
        <w:rPr>
          <w:lang w:eastAsia="zh-CN"/>
        </w:rPr>
        <w:t>Link level simulation assumptions</w:t>
      </w:r>
    </w:p>
    <w:p w14:paraId="424FAEBB" w14:textId="1E2A7C34" w:rsidR="00B95FA0" w:rsidRDefault="002E4CA9" w:rsidP="006C14B5">
      <w:pPr>
        <w:spacing w:after="240"/>
        <w:rPr>
          <w:lang w:val="en-GB"/>
        </w:rPr>
      </w:pPr>
      <w:r>
        <w:rPr>
          <w:lang w:val="en-GB"/>
        </w:rPr>
        <w:fldChar w:fldCharType="begin"/>
      </w:r>
      <w:r>
        <w:rPr>
          <w:lang w:val="en-GB"/>
        </w:rPr>
        <w:instrText xml:space="preserve"> REF _Ref40130662 \h </w:instrText>
      </w:r>
      <w:r>
        <w:rPr>
          <w:lang w:val="en-GB"/>
        </w:rPr>
      </w:r>
      <w:r>
        <w:rPr>
          <w:lang w:val="en-GB"/>
        </w:rPr>
        <w:fldChar w:fldCharType="separate"/>
      </w:r>
      <w:r>
        <w:t xml:space="preserve">Table </w:t>
      </w:r>
      <w:r>
        <w:rPr>
          <w:noProof/>
        </w:rPr>
        <w:t>1</w:t>
      </w:r>
      <w:r>
        <w:rPr>
          <w:lang w:val="en-GB"/>
        </w:rPr>
        <w:fldChar w:fldCharType="end"/>
      </w:r>
      <w:r w:rsidR="006C14B5">
        <w:rPr>
          <w:lang w:val="en-GB"/>
        </w:rPr>
        <w:t xml:space="preserve"> lists </w:t>
      </w:r>
      <w:r>
        <w:rPr>
          <w:lang w:val="en-GB"/>
        </w:rPr>
        <w:t xml:space="preserve">some of </w:t>
      </w:r>
      <w:r w:rsidR="006C14B5">
        <w:rPr>
          <w:lang w:val="en-GB"/>
        </w:rPr>
        <w:t xml:space="preserve">the link level simulation assumptions </w:t>
      </w:r>
      <w:r>
        <w:rPr>
          <w:lang w:val="en-GB"/>
        </w:rPr>
        <w:t>that we think need to be considered for both UL and DL link level simulations</w:t>
      </w:r>
      <w:r w:rsidR="006C14B5">
        <w:rPr>
          <w:lang w:val="en-GB"/>
        </w:rPr>
        <w:t xml:space="preserve">. </w:t>
      </w:r>
      <w:r w:rsidR="003816B5">
        <w:rPr>
          <w:lang w:val="en-GB"/>
        </w:rPr>
        <w:t>The table does not consider control channels, since these are not coverage limiting. Control channel coverage can be considered at a later stage of the SI.</w:t>
      </w:r>
    </w:p>
    <w:p w14:paraId="097095A1" w14:textId="34205A94" w:rsidR="00DA1B6B" w:rsidRDefault="00DA1B6B" w:rsidP="00DA1B6B">
      <w:pPr>
        <w:pStyle w:val="Caption"/>
        <w:jc w:val="center"/>
      </w:pPr>
      <w:bookmarkStart w:id="5" w:name="_Ref40130662"/>
      <w:r>
        <w:t xml:space="preserve">Table </w:t>
      </w:r>
      <w:r>
        <w:fldChar w:fldCharType="begin"/>
      </w:r>
      <w:r>
        <w:instrText xml:space="preserve"> SEQ Table \* ARABIC </w:instrText>
      </w:r>
      <w:r>
        <w:fldChar w:fldCharType="separate"/>
      </w:r>
      <w:r w:rsidR="003E6854">
        <w:rPr>
          <w:noProof/>
        </w:rPr>
        <w:t>3</w:t>
      </w:r>
      <w:r>
        <w:fldChar w:fldCharType="end"/>
      </w:r>
      <w:bookmarkEnd w:id="5"/>
      <w:r>
        <w:t xml:space="preserve"> – </w:t>
      </w:r>
      <w:r w:rsidR="002E4CA9">
        <w:t>L</w:t>
      </w:r>
      <w:r>
        <w:t>ink level simulation assumption parameters</w:t>
      </w:r>
      <w:r w:rsidR="002E4CA9">
        <w:t xml:space="preserve"> for coverage enhancement study</w:t>
      </w:r>
    </w:p>
    <w:tbl>
      <w:tblPr>
        <w:tblStyle w:val="TableGrid"/>
        <w:tblW w:w="0" w:type="auto"/>
        <w:tblLook w:val="04A0" w:firstRow="1" w:lastRow="0" w:firstColumn="1" w:lastColumn="0" w:noHBand="0" w:noVBand="1"/>
      </w:tblPr>
      <w:tblGrid>
        <w:gridCol w:w="2515"/>
        <w:gridCol w:w="2160"/>
        <w:gridCol w:w="4632"/>
      </w:tblGrid>
      <w:tr w:rsidR="0001062E" w:rsidRPr="00DA1B6B" w14:paraId="0FDB35A6" w14:textId="77777777" w:rsidTr="005C7E80">
        <w:tc>
          <w:tcPr>
            <w:tcW w:w="2515" w:type="dxa"/>
            <w:shd w:val="clear" w:color="auto" w:fill="BFBFBF" w:themeFill="background1" w:themeFillShade="BF"/>
          </w:tcPr>
          <w:p w14:paraId="2025CA95" w14:textId="7777925F" w:rsidR="0001062E" w:rsidRPr="00DA1B6B" w:rsidRDefault="00DA1B6B" w:rsidP="00DA1B6B">
            <w:pPr>
              <w:pStyle w:val="ListParagraph"/>
              <w:ind w:left="0"/>
              <w:rPr>
                <w:rFonts w:ascii="Arial" w:eastAsia="MS Mincho" w:hAnsi="Arial" w:cs="Arial"/>
                <w:b/>
                <w:color w:val="000000" w:themeColor="text1"/>
                <w:sz w:val="20"/>
                <w:szCs w:val="20"/>
                <w:lang w:eastAsia="ja-JP"/>
              </w:rPr>
            </w:pPr>
            <w:r w:rsidRPr="00DA1B6B">
              <w:rPr>
                <w:rFonts w:ascii="Arial" w:eastAsia="MS Mincho" w:hAnsi="Arial" w:cs="Arial"/>
                <w:b/>
                <w:color w:val="000000" w:themeColor="text1"/>
                <w:sz w:val="20"/>
                <w:szCs w:val="20"/>
                <w:lang w:eastAsia="ja-JP"/>
              </w:rPr>
              <w:t>Parameter</w:t>
            </w:r>
          </w:p>
        </w:tc>
        <w:tc>
          <w:tcPr>
            <w:tcW w:w="2160" w:type="dxa"/>
            <w:shd w:val="clear" w:color="auto" w:fill="BFBFBF" w:themeFill="background1" w:themeFillShade="BF"/>
          </w:tcPr>
          <w:p w14:paraId="64D97AB0" w14:textId="7232E504" w:rsidR="0001062E" w:rsidRPr="00DA1B6B" w:rsidRDefault="00DA1B6B" w:rsidP="00DA1B6B">
            <w:pPr>
              <w:pStyle w:val="ListParagraph"/>
              <w:ind w:left="0"/>
              <w:rPr>
                <w:rFonts w:ascii="Arial" w:eastAsia="MS Mincho" w:hAnsi="Arial" w:cs="Arial"/>
                <w:b/>
                <w:color w:val="000000" w:themeColor="text1"/>
                <w:sz w:val="20"/>
                <w:szCs w:val="20"/>
                <w:lang w:eastAsia="ja-JP"/>
              </w:rPr>
            </w:pPr>
            <w:r w:rsidRPr="00DA1B6B">
              <w:rPr>
                <w:rFonts w:ascii="Arial" w:eastAsia="MS Mincho" w:hAnsi="Arial" w:cs="Arial"/>
                <w:b/>
                <w:color w:val="000000" w:themeColor="text1"/>
                <w:sz w:val="20"/>
                <w:szCs w:val="20"/>
                <w:lang w:eastAsia="ja-JP"/>
              </w:rPr>
              <w:t>Value</w:t>
            </w:r>
          </w:p>
        </w:tc>
        <w:tc>
          <w:tcPr>
            <w:tcW w:w="4632" w:type="dxa"/>
            <w:shd w:val="clear" w:color="auto" w:fill="BFBFBF" w:themeFill="background1" w:themeFillShade="BF"/>
          </w:tcPr>
          <w:p w14:paraId="0644937F" w14:textId="6E31EB3B" w:rsidR="0001062E" w:rsidRPr="00DA1B6B" w:rsidRDefault="00DA1B6B" w:rsidP="00DA1B6B">
            <w:pPr>
              <w:pStyle w:val="ListParagraph"/>
              <w:ind w:left="0"/>
              <w:rPr>
                <w:rFonts w:ascii="Arial" w:eastAsia="MS Mincho" w:hAnsi="Arial" w:cs="Arial"/>
                <w:b/>
                <w:color w:val="000000" w:themeColor="text1"/>
                <w:sz w:val="20"/>
                <w:szCs w:val="20"/>
                <w:lang w:eastAsia="ja-JP"/>
              </w:rPr>
            </w:pPr>
            <w:r w:rsidRPr="00DA1B6B">
              <w:rPr>
                <w:rFonts w:ascii="Arial" w:eastAsia="MS Mincho" w:hAnsi="Arial" w:cs="Arial"/>
                <w:b/>
                <w:color w:val="000000" w:themeColor="text1"/>
                <w:sz w:val="20"/>
                <w:szCs w:val="20"/>
                <w:lang w:eastAsia="ja-JP"/>
              </w:rPr>
              <w:t>Comment</w:t>
            </w:r>
          </w:p>
        </w:tc>
      </w:tr>
      <w:tr w:rsidR="0001062E" w:rsidRPr="00DA1B6B" w14:paraId="2ADE6B9A" w14:textId="77777777" w:rsidTr="005C7E80">
        <w:tc>
          <w:tcPr>
            <w:tcW w:w="2515" w:type="dxa"/>
          </w:tcPr>
          <w:p w14:paraId="67A5D1DB" w14:textId="01F16C80" w:rsidR="0001062E" w:rsidRPr="00DA1B6B" w:rsidRDefault="00DA1B6B"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VoIP data rate</w:t>
            </w:r>
          </w:p>
        </w:tc>
        <w:tc>
          <w:tcPr>
            <w:tcW w:w="2160" w:type="dxa"/>
          </w:tcPr>
          <w:p w14:paraId="5F70B35F" w14:textId="21A36F35" w:rsidR="0001062E" w:rsidRPr="00DA1B6B" w:rsidRDefault="006E068C"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10</w:t>
            </w:r>
            <w:r w:rsidR="00DA1B6B">
              <w:rPr>
                <w:rFonts w:ascii="Arial" w:eastAsia="MS Mincho" w:hAnsi="Arial" w:cs="Arial"/>
                <w:color w:val="000000" w:themeColor="text1"/>
                <w:sz w:val="20"/>
                <w:szCs w:val="20"/>
                <w:lang w:eastAsia="ja-JP"/>
              </w:rPr>
              <w:t xml:space="preserve"> kbps</w:t>
            </w:r>
            <w:r>
              <w:rPr>
                <w:rFonts w:ascii="Arial" w:eastAsia="MS Mincho" w:hAnsi="Arial" w:cs="Arial"/>
                <w:color w:val="000000" w:themeColor="text1"/>
                <w:sz w:val="20"/>
                <w:szCs w:val="20"/>
                <w:lang w:eastAsia="ja-JP"/>
              </w:rPr>
              <w:t xml:space="preserve"> in UL and DL</w:t>
            </w:r>
          </w:p>
        </w:tc>
        <w:tc>
          <w:tcPr>
            <w:tcW w:w="4632" w:type="dxa"/>
          </w:tcPr>
          <w:p w14:paraId="019E242C" w14:textId="428B2094" w:rsidR="0001062E" w:rsidRPr="00DA1B6B" w:rsidRDefault="006E068C"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 xml:space="preserve">There are many different VoIP codecs. 10kbps is chosen as a representative data rate that is consistent with the RAN plenary email discussion </w:t>
            </w:r>
            <w:r>
              <w:rPr>
                <w:rFonts w:ascii="Arial" w:eastAsia="MS Mincho" w:hAnsi="Arial" w:cs="Arial"/>
                <w:color w:val="000000" w:themeColor="text1"/>
                <w:sz w:val="20"/>
                <w:szCs w:val="20"/>
                <w:lang w:eastAsia="ja-JP"/>
              </w:rPr>
              <w:fldChar w:fldCharType="begin"/>
            </w:r>
            <w:r>
              <w:rPr>
                <w:rFonts w:ascii="Arial" w:eastAsia="MS Mincho" w:hAnsi="Arial" w:cs="Arial"/>
                <w:color w:val="000000" w:themeColor="text1"/>
                <w:sz w:val="20"/>
                <w:szCs w:val="20"/>
                <w:lang w:eastAsia="ja-JP"/>
              </w:rPr>
              <w:instrText xml:space="preserve"> REF _Ref40132118 \r \h </w:instrText>
            </w:r>
            <w:r>
              <w:rPr>
                <w:rFonts w:ascii="Arial" w:eastAsia="MS Mincho" w:hAnsi="Arial" w:cs="Arial"/>
                <w:color w:val="000000" w:themeColor="text1"/>
                <w:sz w:val="20"/>
                <w:szCs w:val="20"/>
                <w:lang w:eastAsia="ja-JP"/>
              </w:rPr>
            </w:r>
            <w:r>
              <w:rPr>
                <w:rFonts w:ascii="Arial" w:eastAsia="MS Mincho" w:hAnsi="Arial" w:cs="Arial"/>
                <w:color w:val="000000" w:themeColor="text1"/>
                <w:sz w:val="20"/>
                <w:szCs w:val="20"/>
                <w:lang w:eastAsia="ja-JP"/>
              </w:rPr>
              <w:fldChar w:fldCharType="separate"/>
            </w:r>
            <w:r>
              <w:rPr>
                <w:rFonts w:ascii="Arial" w:eastAsia="MS Mincho" w:hAnsi="Arial" w:cs="Arial"/>
                <w:color w:val="000000" w:themeColor="text1"/>
                <w:sz w:val="20"/>
                <w:szCs w:val="20"/>
                <w:lang w:eastAsia="ja-JP"/>
              </w:rPr>
              <w:t>[2]</w:t>
            </w:r>
            <w:r>
              <w:rPr>
                <w:rFonts w:ascii="Arial" w:eastAsia="MS Mincho" w:hAnsi="Arial" w:cs="Arial"/>
                <w:color w:val="000000" w:themeColor="text1"/>
                <w:sz w:val="20"/>
                <w:szCs w:val="20"/>
                <w:lang w:eastAsia="ja-JP"/>
              </w:rPr>
              <w:fldChar w:fldCharType="end"/>
            </w:r>
            <w:r>
              <w:rPr>
                <w:rFonts w:ascii="Arial" w:eastAsia="MS Mincho" w:hAnsi="Arial" w:cs="Arial"/>
                <w:color w:val="000000" w:themeColor="text1"/>
                <w:sz w:val="20"/>
                <w:szCs w:val="20"/>
                <w:lang w:eastAsia="ja-JP"/>
              </w:rPr>
              <w:t>.</w:t>
            </w:r>
            <w:r w:rsidR="007038A3">
              <w:rPr>
                <w:rFonts w:ascii="Arial" w:eastAsia="MS Mincho" w:hAnsi="Arial" w:cs="Arial"/>
                <w:color w:val="000000" w:themeColor="text1"/>
                <w:sz w:val="20"/>
                <w:szCs w:val="20"/>
                <w:lang w:eastAsia="ja-JP"/>
              </w:rPr>
              <w:t xml:space="preserve"> </w:t>
            </w:r>
            <w:proofErr w:type="spellStart"/>
            <w:r w:rsidR="007038A3">
              <w:rPr>
                <w:rFonts w:ascii="Arial" w:eastAsia="MS Mincho" w:hAnsi="Arial" w:cs="Arial"/>
                <w:color w:val="000000" w:themeColor="text1"/>
                <w:sz w:val="20"/>
                <w:szCs w:val="20"/>
                <w:lang w:eastAsia="ja-JP"/>
              </w:rPr>
              <w:t>gNB</w:t>
            </w:r>
            <w:proofErr w:type="spellEnd"/>
            <w:r w:rsidR="007038A3">
              <w:rPr>
                <w:rFonts w:ascii="Arial" w:eastAsia="MS Mincho" w:hAnsi="Arial" w:cs="Arial"/>
                <w:color w:val="000000" w:themeColor="text1"/>
                <w:sz w:val="20"/>
                <w:szCs w:val="20"/>
                <w:lang w:eastAsia="ja-JP"/>
              </w:rPr>
              <w:t xml:space="preserve"> power and frequency resources are split between VoIP users.</w:t>
            </w:r>
          </w:p>
        </w:tc>
      </w:tr>
      <w:tr w:rsidR="0001062E" w:rsidRPr="00DA1B6B" w14:paraId="23098011" w14:textId="77777777" w:rsidTr="005C7E80">
        <w:tc>
          <w:tcPr>
            <w:tcW w:w="2515" w:type="dxa"/>
          </w:tcPr>
          <w:p w14:paraId="31D2AE97" w14:textId="130F942E" w:rsidR="0001062E" w:rsidRPr="00DA1B6B" w:rsidRDefault="00DA1B6B" w:rsidP="00DA1B6B">
            <w:pPr>
              <w:pStyle w:val="ListParagraph"/>
              <w:ind w:left="0"/>
              <w:rPr>
                <w:rFonts w:ascii="Arial" w:eastAsia="MS Mincho" w:hAnsi="Arial" w:cs="Arial"/>
                <w:color w:val="000000" w:themeColor="text1"/>
                <w:sz w:val="20"/>
                <w:szCs w:val="20"/>
                <w:lang w:eastAsia="ja-JP"/>
              </w:rPr>
            </w:pPr>
            <w:proofErr w:type="spellStart"/>
            <w:r>
              <w:rPr>
                <w:rFonts w:ascii="Arial" w:eastAsia="MS Mincho" w:hAnsi="Arial" w:cs="Arial"/>
                <w:color w:val="000000" w:themeColor="text1"/>
                <w:sz w:val="20"/>
                <w:szCs w:val="20"/>
                <w:lang w:eastAsia="ja-JP"/>
              </w:rPr>
              <w:t>eMBB</w:t>
            </w:r>
            <w:proofErr w:type="spellEnd"/>
            <w:r>
              <w:rPr>
                <w:rFonts w:ascii="Arial" w:eastAsia="MS Mincho" w:hAnsi="Arial" w:cs="Arial"/>
                <w:color w:val="000000" w:themeColor="text1"/>
                <w:sz w:val="20"/>
                <w:szCs w:val="20"/>
                <w:lang w:eastAsia="ja-JP"/>
              </w:rPr>
              <w:t xml:space="preserve"> data rate</w:t>
            </w:r>
          </w:p>
        </w:tc>
        <w:tc>
          <w:tcPr>
            <w:tcW w:w="2160" w:type="dxa"/>
          </w:tcPr>
          <w:p w14:paraId="22A1F369" w14:textId="77777777" w:rsidR="0001062E" w:rsidRDefault="005C7E80"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Urban: UL = 1Mbps, DL = 10Mbps</w:t>
            </w:r>
          </w:p>
          <w:p w14:paraId="3DC6694F" w14:textId="77777777" w:rsidR="005C7E80" w:rsidRDefault="005C7E80" w:rsidP="00DA1B6B">
            <w:pPr>
              <w:pStyle w:val="ListParagraph"/>
              <w:ind w:left="0"/>
              <w:rPr>
                <w:rFonts w:ascii="Arial" w:eastAsia="MS Mincho" w:hAnsi="Arial" w:cs="Arial"/>
                <w:color w:val="000000" w:themeColor="text1"/>
                <w:sz w:val="20"/>
                <w:szCs w:val="20"/>
                <w:lang w:eastAsia="ja-JP"/>
              </w:rPr>
            </w:pPr>
          </w:p>
          <w:p w14:paraId="7A80AC4F" w14:textId="41D230DF" w:rsidR="005C7E80" w:rsidRPr="00DA1B6B" w:rsidRDefault="005C7E80"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Rural: UL = 100kbps, DL = 1Mbps</w:t>
            </w:r>
          </w:p>
        </w:tc>
        <w:tc>
          <w:tcPr>
            <w:tcW w:w="4632" w:type="dxa"/>
          </w:tcPr>
          <w:p w14:paraId="355F45E7" w14:textId="5EDB4C6C" w:rsidR="0001062E" w:rsidRPr="00DA1B6B" w:rsidRDefault="005C7E80"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 xml:space="preserve">These data rates are a majority view from the RAN plenary email discussion </w:t>
            </w:r>
            <w:r>
              <w:rPr>
                <w:rFonts w:ascii="Arial" w:eastAsia="MS Mincho" w:hAnsi="Arial" w:cs="Arial"/>
                <w:color w:val="000000" w:themeColor="text1"/>
                <w:sz w:val="20"/>
                <w:szCs w:val="20"/>
                <w:lang w:eastAsia="ja-JP"/>
              </w:rPr>
              <w:fldChar w:fldCharType="begin"/>
            </w:r>
            <w:r>
              <w:rPr>
                <w:rFonts w:ascii="Arial" w:eastAsia="MS Mincho" w:hAnsi="Arial" w:cs="Arial"/>
                <w:color w:val="000000" w:themeColor="text1"/>
                <w:sz w:val="20"/>
                <w:szCs w:val="20"/>
                <w:lang w:eastAsia="ja-JP"/>
              </w:rPr>
              <w:instrText xml:space="preserve"> REF _Ref40132118 \r \h </w:instrText>
            </w:r>
            <w:r>
              <w:rPr>
                <w:rFonts w:ascii="Arial" w:eastAsia="MS Mincho" w:hAnsi="Arial" w:cs="Arial"/>
                <w:color w:val="000000" w:themeColor="text1"/>
                <w:sz w:val="20"/>
                <w:szCs w:val="20"/>
                <w:lang w:eastAsia="ja-JP"/>
              </w:rPr>
            </w:r>
            <w:r>
              <w:rPr>
                <w:rFonts w:ascii="Arial" w:eastAsia="MS Mincho" w:hAnsi="Arial" w:cs="Arial"/>
                <w:color w:val="000000" w:themeColor="text1"/>
                <w:sz w:val="20"/>
                <w:szCs w:val="20"/>
                <w:lang w:eastAsia="ja-JP"/>
              </w:rPr>
              <w:fldChar w:fldCharType="separate"/>
            </w:r>
            <w:r>
              <w:rPr>
                <w:rFonts w:ascii="Arial" w:eastAsia="MS Mincho" w:hAnsi="Arial" w:cs="Arial"/>
                <w:color w:val="000000" w:themeColor="text1"/>
                <w:sz w:val="20"/>
                <w:szCs w:val="20"/>
                <w:lang w:eastAsia="ja-JP"/>
              </w:rPr>
              <w:t>[2]</w:t>
            </w:r>
            <w:r>
              <w:rPr>
                <w:rFonts w:ascii="Arial" w:eastAsia="MS Mincho" w:hAnsi="Arial" w:cs="Arial"/>
                <w:color w:val="000000" w:themeColor="text1"/>
                <w:sz w:val="20"/>
                <w:szCs w:val="20"/>
                <w:lang w:eastAsia="ja-JP"/>
              </w:rPr>
              <w:fldChar w:fldCharType="end"/>
            </w:r>
            <w:r w:rsidR="006E068C">
              <w:rPr>
                <w:rFonts w:ascii="Arial" w:eastAsia="MS Mincho" w:hAnsi="Arial" w:cs="Arial"/>
                <w:color w:val="000000" w:themeColor="text1"/>
                <w:sz w:val="20"/>
                <w:szCs w:val="20"/>
                <w:lang w:eastAsia="ja-JP"/>
              </w:rPr>
              <w:t>.</w:t>
            </w:r>
            <w:r w:rsidR="00022985">
              <w:rPr>
                <w:rFonts w:ascii="Arial" w:eastAsia="MS Mincho" w:hAnsi="Arial" w:cs="Arial"/>
                <w:color w:val="000000" w:themeColor="text1"/>
                <w:sz w:val="20"/>
                <w:szCs w:val="20"/>
                <w:lang w:eastAsia="ja-JP"/>
              </w:rPr>
              <w:t xml:space="preserve"> Note that based on the results of the IMT-2020 self-evaluation study, we expect these </w:t>
            </w:r>
            <w:r w:rsidR="008E4F13">
              <w:rPr>
                <w:rFonts w:ascii="Arial" w:eastAsia="MS Mincho" w:hAnsi="Arial" w:cs="Arial"/>
                <w:color w:val="000000" w:themeColor="text1"/>
                <w:sz w:val="20"/>
                <w:szCs w:val="20"/>
                <w:lang w:eastAsia="ja-JP"/>
              </w:rPr>
              <w:t>data rates to result in an UL / DL coverage imbalance.</w:t>
            </w:r>
          </w:p>
        </w:tc>
      </w:tr>
      <w:tr w:rsidR="0001062E" w:rsidRPr="00DA1B6B" w14:paraId="01C755E3" w14:textId="77777777" w:rsidTr="005C7E80">
        <w:tc>
          <w:tcPr>
            <w:tcW w:w="2515" w:type="dxa"/>
          </w:tcPr>
          <w:p w14:paraId="3523B776" w14:textId="04FCC44A" w:rsidR="0001062E" w:rsidRPr="00DA1B6B" w:rsidRDefault="00DA1B6B"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Link level channel model</w:t>
            </w:r>
          </w:p>
        </w:tc>
        <w:tc>
          <w:tcPr>
            <w:tcW w:w="2160" w:type="dxa"/>
          </w:tcPr>
          <w:p w14:paraId="3641F146" w14:textId="42A2C210" w:rsidR="00DA1B6B" w:rsidRPr="00DA1B6B" w:rsidRDefault="009B5E87"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TDL / CDL</w:t>
            </w:r>
          </w:p>
        </w:tc>
        <w:tc>
          <w:tcPr>
            <w:tcW w:w="4632" w:type="dxa"/>
          </w:tcPr>
          <w:p w14:paraId="1AD1E83E" w14:textId="07A9D771" w:rsidR="009B5E87" w:rsidRPr="00DA1B6B" w:rsidRDefault="009B5E87"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The specific TDL channel models chosen should be representative of urban (O-to-I) and rural scenarios. CDL channel models can be used if the coverage enhancement techniques so require.</w:t>
            </w:r>
          </w:p>
        </w:tc>
      </w:tr>
      <w:tr w:rsidR="0001062E" w:rsidRPr="00DA1B6B" w14:paraId="01D3473A" w14:textId="77777777" w:rsidTr="005C7E80">
        <w:tc>
          <w:tcPr>
            <w:tcW w:w="2515" w:type="dxa"/>
          </w:tcPr>
          <w:p w14:paraId="5736A441" w14:textId="556CE6A0" w:rsidR="0001062E" w:rsidRPr="00DA1B6B" w:rsidRDefault="00DA1B6B"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Velocity</w:t>
            </w:r>
          </w:p>
        </w:tc>
        <w:tc>
          <w:tcPr>
            <w:tcW w:w="2160" w:type="dxa"/>
          </w:tcPr>
          <w:p w14:paraId="176BF965" w14:textId="355CC46C" w:rsidR="0001062E" w:rsidRDefault="00B95FA0"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3kmph</w:t>
            </w:r>
          </w:p>
          <w:p w14:paraId="664833B2" w14:textId="7A1B9F6E" w:rsidR="00120F7F" w:rsidRPr="00DA1B6B"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Other velocities may also be simulated</w:t>
            </w:r>
          </w:p>
        </w:tc>
        <w:tc>
          <w:tcPr>
            <w:tcW w:w="4632" w:type="dxa"/>
          </w:tcPr>
          <w:p w14:paraId="7AF41B96" w14:textId="45CF78A9" w:rsidR="0001062E" w:rsidRPr="00DA1B6B" w:rsidRDefault="00B95FA0"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 xml:space="preserve">A 3kmph velocity was used for many scenarios in the IMT-2020 </w:t>
            </w:r>
            <w:proofErr w:type="spellStart"/>
            <w:r>
              <w:rPr>
                <w:rFonts w:ascii="Arial" w:eastAsia="MS Mincho" w:hAnsi="Arial" w:cs="Arial"/>
                <w:color w:val="000000" w:themeColor="text1"/>
                <w:sz w:val="20"/>
                <w:szCs w:val="20"/>
                <w:lang w:eastAsia="ja-JP"/>
              </w:rPr>
              <w:t>self evaluation</w:t>
            </w:r>
            <w:proofErr w:type="spellEnd"/>
            <w:r>
              <w:rPr>
                <w:rFonts w:ascii="Arial" w:eastAsia="MS Mincho" w:hAnsi="Arial" w:cs="Arial"/>
                <w:color w:val="000000" w:themeColor="text1"/>
                <w:sz w:val="20"/>
                <w:szCs w:val="20"/>
                <w:lang w:eastAsia="ja-JP"/>
              </w:rPr>
              <w:t xml:space="preserve"> study</w:t>
            </w:r>
            <w:r w:rsidR="00120F7F">
              <w:rPr>
                <w:rFonts w:ascii="Arial" w:eastAsia="MS Mincho" w:hAnsi="Arial" w:cs="Arial"/>
                <w:color w:val="000000" w:themeColor="text1"/>
                <w:sz w:val="20"/>
                <w:szCs w:val="20"/>
                <w:lang w:eastAsia="ja-JP"/>
              </w:rPr>
              <w:t xml:space="preserve">. Other velocities can be studied to determine the coverage-limiting velocity. </w:t>
            </w:r>
          </w:p>
        </w:tc>
      </w:tr>
      <w:tr w:rsidR="0001062E" w:rsidRPr="00DA1B6B" w14:paraId="0F096C8C" w14:textId="77777777" w:rsidTr="005C7E80">
        <w:tc>
          <w:tcPr>
            <w:tcW w:w="2515" w:type="dxa"/>
          </w:tcPr>
          <w:p w14:paraId="216027C1" w14:textId="075729F7" w:rsidR="0001062E" w:rsidRPr="00DA1B6B"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Carrier frequency</w:t>
            </w:r>
          </w:p>
        </w:tc>
        <w:tc>
          <w:tcPr>
            <w:tcW w:w="2160" w:type="dxa"/>
          </w:tcPr>
          <w:p w14:paraId="00E1ECFD" w14:textId="5F16BF6F" w:rsidR="0001062E" w:rsidRPr="00DA1B6B" w:rsidRDefault="003816B5"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4GHz</w:t>
            </w:r>
          </w:p>
        </w:tc>
        <w:tc>
          <w:tcPr>
            <w:tcW w:w="4632" w:type="dxa"/>
          </w:tcPr>
          <w:p w14:paraId="764D502B" w14:textId="19BAC4DF" w:rsidR="0001062E" w:rsidRPr="00DA1B6B" w:rsidRDefault="0001062E" w:rsidP="00DA1B6B">
            <w:pPr>
              <w:pStyle w:val="ListParagraph"/>
              <w:ind w:left="0"/>
              <w:rPr>
                <w:rFonts w:ascii="Arial" w:eastAsia="MS Mincho" w:hAnsi="Arial" w:cs="Arial"/>
                <w:color w:val="000000" w:themeColor="text1"/>
                <w:sz w:val="20"/>
                <w:szCs w:val="20"/>
                <w:lang w:eastAsia="ja-JP"/>
              </w:rPr>
            </w:pPr>
          </w:p>
        </w:tc>
      </w:tr>
      <w:tr w:rsidR="00120F7F" w:rsidRPr="00DA1B6B" w14:paraId="562F50B3" w14:textId="77777777" w:rsidTr="005C7E80">
        <w:tc>
          <w:tcPr>
            <w:tcW w:w="2515" w:type="dxa"/>
          </w:tcPr>
          <w:p w14:paraId="13786696" w14:textId="787B56D7" w:rsidR="00120F7F"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SCS</w:t>
            </w:r>
          </w:p>
        </w:tc>
        <w:tc>
          <w:tcPr>
            <w:tcW w:w="2160" w:type="dxa"/>
          </w:tcPr>
          <w:p w14:paraId="0D043BE5" w14:textId="0BC3D896" w:rsidR="00120F7F"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15kHz</w:t>
            </w:r>
          </w:p>
        </w:tc>
        <w:tc>
          <w:tcPr>
            <w:tcW w:w="4632" w:type="dxa"/>
          </w:tcPr>
          <w:p w14:paraId="767A8AE4" w14:textId="77777777" w:rsidR="00120F7F" w:rsidRDefault="00120F7F" w:rsidP="00DA1B6B">
            <w:pPr>
              <w:pStyle w:val="ListParagraph"/>
              <w:ind w:left="0"/>
              <w:rPr>
                <w:rFonts w:ascii="Arial" w:eastAsia="MS Mincho" w:hAnsi="Arial" w:cs="Arial"/>
                <w:color w:val="000000" w:themeColor="text1"/>
                <w:sz w:val="20"/>
                <w:szCs w:val="20"/>
                <w:lang w:eastAsia="ja-JP"/>
              </w:rPr>
            </w:pPr>
          </w:p>
        </w:tc>
      </w:tr>
      <w:tr w:rsidR="002E4CA9" w:rsidRPr="00DA1B6B" w14:paraId="1E5DEB39" w14:textId="77777777" w:rsidTr="005C7E80">
        <w:tc>
          <w:tcPr>
            <w:tcW w:w="2515" w:type="dxa"/>
          </w:tcPr>
          <w:p w14:paraId="782ACD8D" w14:textId="0CD3C141" w:rsidR="002E4CA9" w:rsidRDefault="002E4CA9"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System bandwidth</w:t>
            </w:r>
          </w:p>
        </w:tc>
        <w:tc>
          <w:tcPr>
            <w:tcW w:w="2160" w:type="dxa"/>
          </w:tcPr>
          <w:p w14:paraId="1D1C8333" w14:textId="3B6DFBD4" w:rsidR="002E4CA9" w:rsidRDefault="002E4CA9"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20 MHz</w:t>
            </w:r>
          </w:p>
        </w:tc>
        <w:tc>
          <w:tcPr>
            <w:tcW w:w="4632" w:type="dxa"/>
          </w:tcPr>
          <w:p w14:paraId="69E2016F" w14:textId="71E8DEBA" w:rsidR="002E4CA9" w:rsidRDefault="003816B5"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20MHz was applied in the IMT-2020 self-evaluation study.</w:t>
            </w:r>
          </w:p>
        </w:tc>
      </w:tr>
      <w:tr w:rsidR="003E4225" w:rsidRPr="00DA1B6B" w14:paraId="5EB22B17" w14:textId="77777777" w:rsidTr="005C7E80">
        <w:tc>
          <w:tcPr>
            <w:tcW w:w="2515" w:type="dxa"/>
          </w:tcPr>
          <w:p w14:paraId="250B178B" w14:textId="7941A917" w:rsidR="003E4225" w:rsidRDefault="003E4225"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Duplexing</w:t>
            </w:r>
          </w:p>
        </w:tc>
        <w:tc>
          <w:tcPr>
            <w:tcW w:w="2160" w:type="dxa"/>
          </w:tcPr>
          <w:p w14:paraId="3592F7BA" w14:textId="7CE607AA" w:rsidR="003E4225" w:rsidRDefault="003E4225"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FDD or TDD</w:t>
            </w:r>
            <w:r w:rsidR="00F271A0">
              <w:rPr>
                <w:rFonts w:ascii="Arial" w:eastAsia="MS Mincho" w:hAnsi="Arial" w:cs="Arial"/>
                <w:color w:val="000000" w:themeColor="text1"/>
                <w:sz w:val="20"/>
                <w:szCs w:val="20"/>
                <w:lang w:eastAsia="ja-JP"/>
              </w:rPr>
              <w:t>-DSUUD</w:t>
            </w:r>
          </w:p>
        </w:tc>
        <w:tc>
          <w:tcPr>
            <w:tcW w:w="4632" w:type="dxa"/>
          </w:tcPr>
          <w:p w14:paraId="6236784E" w14:textId="074C7176" w:rsidR="003E4225" w:rsidRDefault="00F271A0"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 xml:space="preserve">Many deployment scenarios are UL limited. For TDD deployments, the UL coverage is better when there are more UL slots. </w:t>
            </w:r>
            <w:proofErr w:type="gramStart"/>
            <w:r>
              <w:rPr>
                <w:rFonts w:ascii="Arial" w:eastAsia="MS Mincho" w:hAnsi="Arial" w:cs="Arial"/>
                <w:color w:val="000000" w:themeColor="text1"/>
                <w:sz w:val="20"/>
                <w:szCs w:val="20"/>
                <w:lang w:eastAsia="ja-JP"/>
              </w:rPr>
              <w:t>Hence</w:t>
            </w:r>
            <w:proofErr w:type="gramEnd"/>
            <w:r>
              <w:rPr>
                <w:rFonts w:ascii="Arial" w:eastAsia="MS Mincho" w:hAnsi="Arial" w:cs="Arial"/>
                <w:color w:val="000000" w:themeColor="text1"/>
                <w:sz w:val="20"/>
                <w:szCs w:val="20"/>
                <w:lang w:eastAsia="ja-JP"/>
              </w:rPr>
              <w:t xml:space="preserve"> we assume as a starting point an UL-heavy TDD configuration. </w:t>
            </w:r>
          </w:p>
        </w:tc>
      </w:tr>
      <w:tr w:rsidR="00120F7F" w:rsidRPr="00DA1B6B" w14:paraId="52D9F948" w14:textId="77777777" w:rsidTr="005C7E80">
        <w:tc>
          <w:tcPr>
            <w:tcW w:w="2515" w:type="dxa"/>
          </w:tcPr>
          <w:p w14:paraId="4B0AB8F7" w14:textId="05ABBBCD" w:rsidR="00120F7F"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Number of</w:t>
            </w:r>
            <w:r w:rsidR="003816B5">
              <w:rPr>
                <w:rFonts w:ascii="Arial" w:eastAsia="MS Mincho" w:hAnsi="Arial" w:cs="Arial"/>
                <w:color w:val="000000" w:themeColor="text1"/>
                <w:sz w:val="20"/>
                <w:szCs w:val="20"/>
                <w:lang w:eastAsia="ja-JP"/>
              </w:rPr>
              <w:t xml:space="preserve"> UE</w:t>
            </w:r>
            <w:r>
              <w:rPr>
                <w:rFonts w:ascii="Arial" w:eastAsia="MS Mincho" w:hAnsi="Arial" w:cs="Arial"/>
                <w:color w:val="000000" w:themeColor="text1"/>
                <w:sz w:val="20"/>
                <w:szCs w:val="20"/>
                <w:lang w:eastAsia="ja-JP"/>
              </w:rPr>
              <w:t xml:space="preserve"> TX, RX antennas</w:t>
            </w:r>
          </w:p>
        </w:tc>
        <w:tc>
          <w:tcPr>
            <w:tcW w:w="2160" w:type="dxa"/>
          </w:tcPr>
          <w:p w14:paraId="71A52BEC" w14:textId="3D3A402C" w:rsidR="00120F7F"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 xml:space="preserve">TX: </w:t>
            </w:r>
            <w:r w:rsidR="00E73A5C">
              <w:rPr>
                <w:rFonts w:ascii="Arial" w:eastAsia="MS Mincho" w:hAnsi="Arial" w:cs="Arial"/>
                <w:color w:val="000000" w:themeColor="text1"/>
                <w:sz w:val="20"/>
                <w:szCs w:val="20"/>
                <w:lang w:eastAsia="ja-JP"/>
              </w:rPr>
              <w:t>1</w:t>
            </w:r>
          </w:p>
          <w:p w14:paraId="7566B3C5" w14:textId="16116E07" w:rsidR="00120F7F"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RX: 2</w:t>
            </w:r>
          </w:p>
        </w:tc>
        <w:tc>
          <w:tcPr>
            <w:tcW w:w="4632" w:type="dxa"/>
          </w:tcPr>
          <w:p w14:paraId="000B76D2" w14:textId="6BD7C953" w:rsidR="00120F7F" w:rsidRDefault="00120F7F"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 xml:space="preserve">While rel-16 specifications allow for a UE with more TX / RX antennas, the coverage </w:t>
            </w:r>
            <w:r>
              <w:rPr>
                <w:rFonts w:ascii="Arial" w:eastAsia="MS Mincho" w:hAnsi="Arial" w:cs="Arial"/>
                <w:color w:val="000000" w:themeColor="text1"/>
                <w:sz w:val="20"/>
                <w:szCs w:val="20"/>
                <w:lang w:eastAsia="ja-JP"/>
              </w:rPr>
              <w:lastRenderedPageBreak/>
              <w:t xml:space="preserve">enhancements SI should not assume such a UE. </w:t>
            </w:r>
            <w:r w:rsidR="006E1647">
              <w:rPr>
                <w:rFonts w:ascii="Arial" w:eastAsia="MS Mincho" w:hAnsi="Arial" w:cs="Arial"/>
                <w:color w:val="000000" w:themeColor="text1"/>
                <w:sz w:val="20"/>
                <w:szCs w:val="20"/>
                <w:lang w:eastAsia="ja-JP"/>
              </w:rPr>
              <w:t xml:space="preserve">1TX2RX UEs were considered in the IMT-2020 </w:t>
            </w:r>
            <w:proofErr w:type="spellStart"/>
            <w:r w:rsidR="006E1647">
              <w:rPr>
                <w:rFonts w:ascii="Arial" w:eastAsia="MS Mincho" w:hAnsi="Arial" w:cs="Arial"/>
                <w:color w:val="000000" w:themeColor="text1"/>
                <w:sz w:val="20"/>
                <w:szCs w:val="20"/>
                <w:lang w:eastAsia="ja-JP"/>
              </w:rPr>
              <w:t>self evaluation</w:t>
            </w:r>
            <w:proofErr w:type="spellEnd"/>
            <w:r w:rsidR="006E1647">
              <w:rPr>
                <w:rFonts w:ascii="Arial" w:eastAsia="MS Mincho" w:hAnsi="Arial" w:cs="Arial"/>
                <w:color w:val="000000" w:themeColor="text1"/>
                <w:sz w:val="20"/>
                <w:szCs w:val="20"/>
                <w:lang w:eastAsia="ja-JP"/>
              </w:rPr>
              <w:t xml:space="preserve"> </w:t>
            </w:r>
            <w:r w:rsidR="006E1647">
              <w:rPr>
                <w:rFonts w:ascii="Arial" w:eastAsia="MS Mincho" w:hAnsi="Arial" w:cs="Arial"/>
                <w:color w:val="000000" w:themeColor="text1"/>
                <w:sz w:val="20"/>
                <w:szCs w:val="20"/>
                <w:lang w:eastAsia="ja-JP"/>
              </w:rPr>
              <w:fldChar w:fldCharType="begin"/>
            </w:r>
            <w:r w:rsidR="006E1647">
              <w:rPr>
                <w:rFonts w:ascii="Arial" w:eastAsia="MS Mincho" w:hAnsi="Arial" w:cs="Arial"/>
                <w:color w:val="000000" w:themeColor="text1"/>
                <w:sz w:val="20"/>
                <w:szCs w:val="20"/>
                <w:lang w:eastAsia="ja-JP"/>
              </w:rPr>
              <w:instrText xml:space="preserve"> REF _Ref40133459 \r \h </w:instrText>
            </w:r>
            <w:r w:rsidR="006E1647">
              <w:rPr>
                <w:rFonts w:ascii="Arial" w:eastAsia="MS Mincho" w:hAnsi="Arial" w:cs="Arial"/>
                <w:color w:val="000000" w:themeColor="text1"/>
                <w:sz w:val="20"/>
                <w:szCs w:val="20"/>
                <w:lang w:eastAsia="ja-JP"/>
              </w:rPr>
            </w:r>
            <w:r w:rsidR="006E1647">
              <w:rPr>
                <w:rFonts w:ascii="Arial" w:eastAsia="MS Mincho" w:hAnsi="Arial" w:cs="Arial"/>
                <w:color w:val="000000" w:themeColor="text1"/>
                <w:sz w:val="20"/>
                <w:szCs w:val="20"/>
                <w:lang w:eastAsia="ja-JP"/>
              </w:rPr>
              <w:fldChar w:fldCharType="separate"/>
            </w:r>
            <w:r w:rsidR="006E1647">
              <w:rPr>
                <w:rFonts w:ascii="Arial" w:eastAsia="MS Mincho" w:hAnsi="Arial" w:cs="Arial"/>
                <w:color w:val="000000" w:themeColor="text1"/>
                <w:sz w:val="20"/>
                <w:szCs w:val="20"/>
                <w:lang w:eastAsia="ja-JP"/>
              </w:rPr>
              <w:t>[3]</w:t>
            </w:r>
            <w:r w:rsidR="006E1647">
              <w:rPr>
                <w:rFonts w:ascii="Arial" w:eastAsia="MS Mincho" w:hAnsi="Arial" w:cs="Arial"/>
                <w:color w:val="000000" w:themeColor="text1"/>
                <w:sz w:val="20"/>
                <w:szCs w:val="20"/>
                <w:lang w:eastAsia="ja-JP"/>
              </w:rPr>
              <w:fldChar w:fldCharType="end"/>
            </w:r>
            <w:r w:rsidR="006E1647">
              <w:rPr>
                <w:rFonts w:ascii="Arial" w:eastAsia="MS Mincho" w:hAnsi="Arial" w:cs="Arial"/>
                <w:color w:val="000000" w:themeColor="text1"/>
                <w:sz w:val="20"/>
                <w:szCs w:val="20"/>
                <w:lang w:eastAsia="ja-JP"/>
              </w:rPr>
              <w:t>.</w:t>
            </w:r>
          </w:p>
        </w:tc>
      </w:tr>
      <w:tr w:rsidR="007038A3" w:rsidRPr="00DA1B6B" w14:paraId="704B0A99" w14:textId="77777777" w:rsidTr="005C7E80">
        <w:tc>
          <w:tcPr>
            <w:tcW w:w="2515" w:type="dxa"/>
          </w:tcPr>
          <w:p w14:paraId="65EF0E55" w14:textId="2B4A3D29" w:rsidR="007038A3" w:rsidRDefault="007038A3"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lastRenderedPageBreak/>
              <w:t xml:space="preserve">Number of </w:t>
            </w:r>
            <w:proofErr w:type="spellStart"/>
            <w:r>
              <w:rPr>
                <w:rFonts w:ascii="Arial" w:eastAsia="MS Mincho" w:hAnsi="Arial" w:cs="Arial"/>
                <w:color w:val="000000" w:themeColor="text1"/>
                <w:sz w:val="20"/>
                <w:szCs w:val="20"/>
                <w:lang w:eastAsia="ja-JP"/>
              </w:rPr>
              <w:t>gNodeB</w:t>
            </w:r>
            <w:proofErr w:type="spellEnd"/>
            <w:r>
              <w:rPr>
                <w:rFonts w:ascii="Arial" w:eastAsia="MS Mincho" w:hAnsi="Arial" w:cs="Arial"/>
                <w:color w:val="000000" w:themeColor="text1"/>
                <w:sz w:val="20"/>
                <w:szCs w:val="20"/>
                <w:lang w:eastAsia="ja-JP"/>
              </w:rPr>
              <w:t xml:space="preserve"> TX, RX antennas</w:t>
            </w:r>
          </w:p>
        </w:tc>
        <w:tc>
          <w:tcPr>
            <w:tcW w:w="2160" w:type="dxa"/>
          </w:tcPr>
          <w:p w14:paraId="1F05BC4E" w14:textId="4CC19152" w:rsidR="007038A3" w:rsidRDefault="007038A3"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Scenario dependent</w:t>
            </w:r>
          </w:p>
        </w:tc>
        <w:tc>
          <w:tcPr>
            <w:tcW w:w="4632" w:type="dxa"/>
          </w:tcPr>
          <w:p w14:paraId="3A15C59E" w14:textId="2D1F690B" w:rsidR="007038A3" w:rsidRDefault="007038A3"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This needs to be defined depending on the deployment scenario (e.g. urban O-to-I, rural etc.</w:t>
            </w:r>
            <w:r w:rsidR="009B5E87">
              <w:rPr>
                <w:rFonts w:ascii="Arial" w:eastAsia="MS Mincho" w:hAnsi="Arial" w:cs="Arial"/>
                <w:color w:val="000000" w:themeColor="text1"/>
                <w:sz w:val="20"/>
                <w:szCs w:val="20"/>
                <w:lang w:eastAsia="ja-JP"/>
              </w:rPr>
              <w:t>)</w:t>
            </w:r>
            <w:bookmarkStart w:id="6" w:name="_GoBack"/>
            <w:bookmarkEnd w:id="6"/>
          </w:p>
        </w:tc>
      </w:tr>
      <w:tr w:rsidR="00371C27" w:rsidRPr="00DA1B6B" w14:paraId="0CF37C31" w14:textId="77777777" w:rsidTr="005C7E80">
        <w:tc>
          <w:tcPr>
            <w:tcW w:w="2515" w:type="dxa"/>
          </w:tcPr>
          <w:p w14:paraId="6D72C076" w14:textId="1DCB2DA2" w:rsidR="00371C27" w:rsidRDefault="00371C27"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Reference symbol configuration</w:t>
            </w:r>
          </w:p>
        </w:tc>
        <w:tc>
          <w:tcPr>
            <w:tcW w:w="2160" w:type="dxa"/>
          </w:tcPr>
          <w:p w14:paraId="664E695F" w14:textId="65128453" w:rsidR="00371C27" w:rsidRDefault="007038A3"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TBD</w:t>
            </w:r>
          </w:p>
        </w:tc>
        <w:tc>
          <w:tcPr>
            <w:tcW w:w="4632" w:type="dxa"/>
          </w:tcPr>
          <w:p w14:paraId="1AC3F223" w14:textId="77777777" w:rsidR="00371C27" w:rsidRDefault="00371C27"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Considers DMRS / CSI-RS / other reference symbol configurations.</w:t>
            </w:r>
          </w:p>
          <w:p w14:paraId="5A07676E" w14:textId="77777777" w:rsidR="00371C27" w:rsidRDefault="00371C27" w:rsidP="00DA1B6B">
            <w:pPr>
              <w:pStyle w:val="ListParagraph"/>
              <w:ind w:left="0"/>
              <w:rPr>
                <w:rFonts w:ascii="Arial" w:eastAsia="MS Mincho" w:hAnsi="Arial" w:cs="Arial"/>
                <w:color w:val="000000" w:themeColor="text1"/>
                <w:sz w:val="20"/>
                <w:szCs w:val="20"/>
                <w:lang w:eastAsia="ja-JP"/>
              </w:rPr>
            </w:pPr>
          </w:p>
          <w:p w14:paraId="692D611D" w14:textId="252A38BA" w:rsidR="00371C27" w:rsidRDefault="00371C27" w:rsidP="00DA1B6B">
            <w:pPr>
              <w:pStyle w:val="ListParagraph"/>
              <w:ind w:left="0"/>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lang w:eastAsia="ja-JP"/>
              </w:rPr>
              <w:t>The reference symbol configuration should be one that is appropriate for coverage-limited scenarios in Rel-16.</w:t>
            </w:r>
          </w:p>
        </w:tc>
      </w:tr>
    </w:tbl>
    <w:p w14:paraId="5C9E6C0B" w14:textId="53EBE8DE" w:rsidR="008E2D8A" w:rsidRDefault="008E2D8A" w:rsidP="00BE0768">
      <w:pPr>
        <w:pStyle w:val="ListParagraph"/>
        <w:spacing w:after="120"/>
        <w:ind w:left="0"/>
        <w:rPr>
          <w:rFonts w:ascii="Times New Roman" w:eastAsia="MS Mincho" w:hAnsi="Times New Roman" w:cs="Times New Roman"/>
          <w:color w:val="000000" w:themeColor="text1"/>
          <w:sz w:val="22"/>
          <w:szCs w:val="22"/>
          <w:lang w:eastAsia="ja-JP"/>
        </w:rPr>
      </w:pPr>
    </w:p>
    <w:p w14:paraId="1C517D31" w14:textId="0AA811D4" w:rsidR="006C14B5" w:rsidRPr="008E4F13" w:rsidRDefault="008E4F13" w:rsidP="00BE0768">
      <w:pPr>
        <w:pStyle w:val="ListParagraph"/>
        <w:spacing w:after="120"/>
        <w:ind w:left="0"/>
        <w:rPr>
          <w:rFonts w:ascii="Times New Roman" w:eastAsia="MS Mincho" w:hAnsi="Times New Roman" w:cs="Times New Roman"/>
          <w:b/>
          <w:color w:val="000000" w:themeColor="text1"/>
          <w:sz w:val="22"/>
          <w:szCs w:val="22"/>
          <w:lang w:eastAsia="ja-JP"/>
        </w:rPr>
      </w:pPr>
      <w:r w:rsidRPr="008E4F13">
        <w:rPr>
          <w:rFonts w:ascii="Times New Roman" w:eastAsia="MS Mincho" w:hAnsi="Times New Roman" w:cs="Times New Roman"/>
          <w:b/>
          <w:color w:val="000000" w:themeColor="text1"/>
          <w:sz w:val="22"/>
          <w:szCs w:val="22"/>
          <w:lang w:eastAsia="ja-JP"/>
        </w:rPr>
        <w:t>Proposal</w:t>
      </w:r>
      <w:r w:rsidR="0011132F">
        <w:rPr>
          <w:rFonts w:ascii="Times New Roman" w:eastAsia="MS Mincho" w:hAnsi="Times New Roman" w:cs="Times New Roman"/>
          <w:b/>
          <w:color w:val="000000" w:themeColor="text1"/>
          <w:sz w:val="22"/>
          <w:szCs w:val="22"/>
          <w:lang w:eastAsia="ja-JP"/>
        </w:rPr>
        <w:t xml:space="preserve"> 6</w:t>
      </w:r>
      <w:r w:rsidRPr="008E4F13">
        <w:rPr>
          <w:rFonts w:ascii="Times New Roman" w:eastAsia="MS Mincho" w:hAnsi="Times New Roman" w:cs="Times New Roman"/>
          <w:b/>
          <w:color w:val="000000" w:themeColor="text1"/>
          <w:sz w:val="22"/>
          <w:szCs w:val="22"/>
          <w:lang w:eastAsia="ja-JP"/>
        </w:rPr>
        <w:t xml:space="preserve">: RAN1 agrees on common values to be used in link level simulations, including VoIP data rate, </w:t>
      </w:r>
      <w:proofErr w:type="spellStart"/>
      <w:r w:rsidRPr="008E4F13">
        <w:rPr>
          <w:rFonts w:ascii="Times New Roman" w:eastAsia="MS Mincho" w:hAnsi="Times New Roman" w:cs="Times New Roman"/>
          <w:b/>
          <w:color w:val="000000" w:themeColor="text1"/>
          <w:sz w:val="22"/>
          <w:szCs w:val="22"/>
          <w:lang w:eastAsia="ja-JP"/>
        </w:rPr>
        <w:t>eMBB</w:t>
      </w:r>
      <w:proofErr w:type="spellEnd"/>
      <w:r w:rsidRPr="008E4F13">
        <w:rPr>
          <w:rFonts w:ascii="Times New Roman" w:eastAsia="MS Mincho" w:hAnsi="Times New Roman" w:cs="Times New Roman"/>
          <w:b/>
          <w:color w:val="000000" w:themeColor="text1"/>
          <w:sz w:val="22"/>
          <w:szCs w:val="22"/>
          <w:lang w:eastAsia="ja-JP"/>
        </w:rPr>
        <w:t xml:space="preserve"> data rate, link level channel model, velocity, carrier frequency, SCS, system bandwidth, duplexing mode including slot configuration for TDD, number or UE/</w:t>
      </w:r>
      <w:proofErr w:type="spellStart"/>
      <w:r w:rsidRPr="008E4F13">
        <w:rPr>
          <w:rFonts w:ascii="Times New Roman" w:eastAsia="MS Mincho" w:hAnsi="Times New Roman" w:cs="Times New Roman"/>
          <w:b/>
          <w:color w:val="000000" w:themeColor="text1"/>
          <w:sz w:val="22"/>
          <w:szCs w:val="22"/>
          <w:lang w:eastAsia="ja-JP"/>
        </w:rPr>
        <w:t>gNB</w:t>
      </w:r>
      <w:proofErr w:type="spellEnd"/>
      <w:r w:rsidRPr="008E4F13">
        <w:rPr>
          <w:rFonts w:ascii="Times New Roman" w:eastAsia="MS Mincho" w:hAnsi="Times New Roman" w:cs="Times New Roman"/>
          <w:b/>
          <w:color w:val="000000" w:themeColor="text1"/>
          <w:sz w:val="22"/>
          <w:szCs w:val="22"/>
          <w:lang w:eastAsia="ja-JP"/>
        </w:rPr>
        <w:t xml:space="preserve"> TX/RX antennas and reference symbol configuration.</w:t>
      </w:r>
    </w:p>
    <w:p w14:paraId="243ED8D8" w14:textId="1A1198A2" w:rsidR="008E4F13" w:rsidRDefault="008E4F13" w:rsidP="00BE0768">
      <w:pPr>
        <w:pStyle w:val="ListParagraph"/>
        <w:spacing w:after="120"/>
        <w:ind w:left="0"/>
        <w:rPr>
          <w:rFonts w:ascii="Times New Roman" w:eastAsia="MS Mincho" w:hAnsi="Times New Roman" w:cs="Times New Roman"/>
          <w:color w:val="000000" w:themeColor="text1"/>
          <w:sz w:val="22"/>
          <w:szCs w:val="22"/>
          <w:lang w:eastAsia="ja-JP"/>
        </w:rPr>
      </w:pPr>
    </w:p>
    <w:p w14:paraId="3019413D" w14:textId="53E89873" w:rsidR="008E4F13" w:rsidRDefault="008E4F13" w:rsidP="00BE0768">
      <w:pPr>
        <w:pStyle w:val="ListParagraph"/>
        <w:spacing w:after="120"/>
        <w:ind w:left="0"/>
        <w:rPr>
          <w:rFonts w:ascii="Times New Roman" w:eastAsia="MS Mincho" w:hAnsi="Times New Roman" w:cs="Times New Roman"/>
          <w:color w:val="000000" w:themeColor="text1"/>
          <w:sz w:val="22"/>
          <w:szCs w:val="22"/>
          <w:lang w:eastAsia="ja-JP"/>
        </w:rPr>
      </w:pPr>
    </w:p>
    <w:p w14:paraId="1D2D6512" w14:textId="77777777" w:rsidR="008E4F13" w:rsidRDefault="008E4F13"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6F8F1680" w:rsidR="004246DC" w:rsidRDefault="00A15421" w:rsidP="004246DC">
      <w:pPr>
        <w:pStyle w:val="Heading1"/>
        <w:jc w:val="left"/>
        <w:rPr>
          <w:color w:val="000000" w:themeColor="text1"/>
          <w:lang w:eastAsia="zh-CN"/>
        </w:rPr>
      </w:pPr>
      <w:r>
        <w:rPr>
          <w:color w:val="000000" w:themeColor="text1"/>
          <w:lang w:eastAsia="zh-CN"/>
        </w:rPr>
        <w:t>Conclusion</w:t>
      </w:r>
    </w:p>
    <w:p w14:paraId="730890DC" w14:textId="7CF4E430" w:rsidR="00D14349" w:rsidRDefault="00104A15" w:rsidP="00BE7F81">
      <w:pPr>
        <w:rPr>
          <w:rFonts w:eastAsia="Times New Roman"/>
          <w:color w:val="000000"/>
        </w:rPr>
      </w:pPr>
      <w:r>
        <w:rPr>
          <w:rFonts w:eastAsia="Times New Roman"/>
          <w:color w:val="000000"/>
        </w:rPr>
        <w:t xml:space="preserve">This document has considered </w:t>
      </w:r>
      <w:r w:rsidR="00016C55">
        <w:rPr>
          <w:rFonts w:eastAsia="Times New Roman"/>
          <w:color w:val="000000"/>
        </w:rPr>
        <w:t xml:space="preserve">issues related to how RAN1 should </w:t>
      </w:r>
      <w:proofErr w:type="spellStart"/>
      <w:r w:rsidR="00016C55">
        <w:rPr>
          <w:rFonts w:eastAsia="Times New Roman"/>
          <w:color w:val="000000"/>
        </w:rPr>
        <w:t>analyse</w:t>
      </w:r>
      <w:proofErr w:type="spellEnd"/>
      <w:r w:rsidR="00016C55">
        <w:rPr>
          <w:rFonts w:eastAsia="Times New Roman"/>
          <w:color w:val="000000"/>
        </w:rPr>
        <w:t xml:space="preserve"> the NR coverage in FR1</w:t>
      </w:r>
      <w:r w:rsidR="006F73E6">
        <w:rPr>
          <w:rFonts w:eastAsia="Times New Roman"/>
          <w:color w:val="000000"/>
        </w:rPr>
        <w:t>.</w:t>
      </w:r>
      <w:r w:rsidR="00016C55">
        <w:rPr>
          <w:rFonts w:eastAsia="Times New Roman"/>
          <w:color w:val="000000"/>
        </w:rPr>
        <w:t xml:space="preserve"> The following </w:t>
      </w:r>
      <w:r w:rsidR="0011132F">
        <w:rPr>
          <w:rFonts w:eastAsia="Times New Roman"/>
          <w:color w:val="000000"/>
        </w:rPr>
        <w:t>observations and proposals</w:t>
      </w:r>
      <w:r w:rsidR="00016C55">
        <w:rPr>
          <w:rFonts w:eastAsia="Times New Roman"/>
          <w:color w:val="000000"/>
        </w:rPr>
        <w:t xml:space="preserve"> are made:</w:t>
      </w:r>
    </w:p>
    <w:p w14:paraId="7A3CA7AB" w14:textId="77777777" w:rsidR="00E95932" w:rsidRPr="0011132F" w:rsidRDefault="00E95932" w:rsidP="00E95932">
      <w:pPr>
        <w:spacing w:after="240"/>
        <w:rPr>
          <w:b/>
        </w:rPr>
      </w:pPr>
      <w:r w:rsidRPr="0011132F">
        <w:rPr>
          <w:b/>
        </w:rPr>
        <w:t>Observation</w:t>
      </w:r>
      <w:r>
        <w:rPr>
          <w:b/>
        </w:rPr>
        <w:t xml:space="preserve"> 1</w:t>
      </w:r>
      <w:r w:rsidRPr="0011132F">
        <w:rPr>
          <w:b/>
        </w:rPr>
        <w:t>: In the IMT-2020 self-evaluation study, in scenarios where the DL coverage is significantly greater than the UL coverage, the DL transmit power is significantly greater than the UL transmit power.</w:t>
      </w:r>
    </w:p>
    <w:p w14:paraId="03F946E8" w14:textId="77777777" w:rsidR="00E95932" w:rsidRPr="0011132F" w:rsidRDefault="00E95932" w:rsidP="00E95932">
      <w:pPr>
        <w:spacing w:after="240"/>
        <w:rPr>
          <w:b/>
        </w:rPr>
      </w:pPr>
      <w:r w:rsidRPr="0011132F">
        <w:rPr>
          <w:b/>
        </w:rPr>
        <w:t>Observation</w:t>
      </w:r>
      <w:r>
        <w:rPr>
          <w:b/>
        </w:rPr>
        <w:t xml:space="preserve"> 2</w:t>
      </w:r>
      <w:r w:rsidRPr="0011132F">
        <w:rPr>
          <w:b/>
        </w:rPr>
        <w:t xml:space="preserve">: In a loaded system, the DL transmit power and physical resources need to be shared amongst multiple users, which will impact DL coverage. </w:t>
      </w:r>
    </w:p>
    <w:p w14:paraId="0D21E875" w14:textId="77777777" w:rsidR="00E95932" w:rsidRDefault="00E95932" w:rsidP="00E95932">
      <w:pPr>
        <w:spacing w:after="240"/>
      </w:pPr>
      <w:r w:rsidRPr="0011132F">
        <w:rPr>
          <w:b/>
        </w:rPr>
        <w:t>Observation</w:t>
      </w:r>
      <w:r>
        <w:rPr>
          <w:b/>
        </w:rPr>
        <w:t xml:space="preserve"> 3</w:t>
      </w:r>
      <w:r w:rsidRPr="0011132F">
        <w:rPr>
          <w:b/>
        </w:rPr>
        <w:t>: In a loaded system, multiple UL UEs can transmit at the cell edge using orthogonal resources, hence UL coverage should not be impacted.</w:t>
      </w:r>
    </w:p>
    <w:p w14:paraId="63B71042" w14:textId="77777777" w:rsidR="00E95932" w:rsidRPr="003A0020" w:rsidRDefault="00E95932" w:rsidP="00E95932">
      <w:pPr>
        <w:spacing w:after="240"/>
        <w:rPr>
          <w:b/>
          <w:lang w:val="en-GB"/>
        </w:rPr>
      </w:pPr>
      <w:r w:rsidRPr="003A0020">
        <w:rPr>
          <w:b/>
          <w:lang w:val="en-GB"/>
        </w:rPr>
        <w:t>Proposal</w:t>
      </w:r>
      <w:r>
        <w:rPr>
          <w:b/>
          <w:lang w:val="en-GB"/>
        </w:rPr>
        <w:t xml:space="preserve"> 1</w:t>
      </w:r>
      <w:r w:rsidRPr="003A0020">
        <w:rPr>
          <w:b/>
          <w:lang w:val="en-GB"/>
        </w:rPr>
        <w:t xml:space="preserve">: </w:t>
      </w:r>
      <w:r>
        <w:rPr>
          <w:b/>
          <w:lang w:val="en-GB"/>
        </w:rPr>
        <w:t>RAN1 initially considers data channel coverage based on simulation assumptions for data channels</w:t>
      </w:r>
      <w:r w:rsidRPr="003A0020">
        <w:rPr>
          <w:b/>
          <w:lang w:val="en-GB"/>
        </w:rPr>
        <w:t>.</w:t>
      </w:r>
    </w:p>
    <w:p w14:paraId="3450395E" w14:textId="0EC9B3DA" w:rsidR="00E95932" w:rsidRDefault="00E95932" w:rsidP="00E95932">
      <w:pPr>
        <w:spacing w:after="240"/>
        <w:rPr>
          <w:b/>
          <w:lang w:val="en-GB"/>
        </w:rPr>
      </w:pPr>
      <w:r w:rsidRPr="003A0020">
        <w:rPr>
          <w:b/>
          <w:lang w:val="en-GB"/>
        </w:rPr>
        <w:t>Proposal</w:t>
      </w:r>
      <w:r>
        <w:rPr>
          <w:b/>
          <w:lang w:val="en-GB"/>
        </w:rPr>
        <w:t xml:space="preserve"> 2</w:t>
      </w:r>
      <w:r w:rsidRPr="003A0020">
        <w:rPr>
          <w:b/>
          <w:lang w:val="en-GB"/>
        </w:rPr>
        <w:t>: Coverage is calculated using link level simulations.</w:t>
      </w:r>
    </w:p>
    <w:p w14:paraId="4A9897F5" w14:textId="77777777" w:rsidR="00E95932" w:rsidRPr="003A0020" w:rsidRDefault="00E95932" w:rsidP="00E95932">
      <w:pPr>
        <w:spacing w:after="240"/>
        <w:rPr>
          <w:b/>
          <w:lang w:val="en-GB"/>
        </w:rPr>
      </w:pPr>
      <w:r w:rsidRPr="003A0020">
        <w:rPr>
          <w:b/>
          <w:lang w:val="en-GB"/>
        </w:rPr>
        <w:t>Proposal</w:t>
      </w:r>
      <w:r>
        <w:rPr>
          <w:b/>
          <w:lang w:val="en-GB"/>
        </w:rPr>
        <w:t xml:space="preserve"> 3</w:t>
      </w:r>
      <w:r w:rsidRPr="003A0020">
        <w:rPr>
          <w:b/>
          <w:lang w:val="en-GB"/>
        </w:rPr>
        <w:t>: Coverage is calculated as the “hardware link budget” from the IMT-2020 self-evaluation study.</w:t>
      </w:r>
    </w:p>
    <w:p w14:paraId="382322CD" w14:textId="77777777" w:rsidR="00E95932" w:rsidRDefault="00E95932" w:rsidP="00E95932">
      <w:pPr>
        <w:spacing w:after="240"/>
        <w:rPr>
          <w:lang w:val="en-GB"/>
        </w:rPr>
      </w:pPr>
      <w:r w:rsidRPr="00022985">
        <w:rPr>
          <w:b/>
          <w:lang w:val="en-GB"/>
        </w:rPr>
        <w:t>Proposal</w:t>
      </w:r>
      <w:r>
        <w:rPr>
          <w:b/>
          <w:lang w:val="en-GB"/>
        </w:rPr>
        <w:t xml:space="preserve"> 4</w:t>
      </w:r>
      <w:r w:rsidRPr="00022985">
        <w:rPr>
          <w:b/>
          <w:lang w:val="en-GB"/>
        </w:rPr>
        <w:t>: RAN1 agrees on values for a set of common parameters to be used in the link budget, including cable / connector loss, implementation margin, noise figure, power boosting gain, target BLER</w:t>
      </w:r>
      <w:r>
        <w:rPr>
          <w:lang w:val="en-GB"/>
        </w:rPr>
        <w:t>.</w:t>
      </w:r>
    </w:p>
    <w:p w14:paraId="4F5A77FF" w14:textId="77777777" w:rsidR="00E95932" w:rsidRDefault="00E95932" w:rsidP="00E95932">
      <w:pPr>
        <w:spacing w:after="240"/>
        <w:rPr>
          <w:lang w:val="en-GB"/>
        </w:rPr>
      </w:pPr>
      <w:r w:rsidRPr="00022985">
        <w:rPr>
          <w:b/>
          <w:lang w:val="en-GB"/>
        </w:rPr>
        <w:t>Proposal</w:t>
      </w:r>
      <w:r>
        <w:rPr>
          <w:b/>
          <w:lang w:val="en-GB"/>
        </w:rPr>
        <w:t xml:space="preserve"> 5</w:t>
      </w:r>
      <w:r w:rsidRPr="00022985">
        <w:rPr>
          <w:b/>
          <w:lang w:val="en-GB"/>
        </w:rPr>
        <w:t xml:space="preserve">: </w:t>
      </w:r>
      <w:r>
        <w:rPr>
          <w:b/>
          <w:lang w:val="en-GB"/>
        </w:rPr>
        <w:t>The study aims to achieve a target for enhanced coverage, rather than to balance UL / DL and control / data coverage</w:t>
      </w:r>
      <w:r>
        <w:rPr>
          <w:lang w:val="en-GB"/>
        </w:rPr>
        <w:t>.</w:t>
      </w:r>
    </w:p>
    <w:p w14:paraId="754CB231" w14:textId="77777777" w:rsidR="00E95932" w:rsidRPr="008E4F13" w:rsidRDefault="00E95932" w:rsidP="00E95932">
      <w:pPr>
        <w:pStyle w:val="ListParagraph"/>
        <w:spacing w:after="120"/>
        <w:ind w:left="0"/>
        <w:rPr>
          <w:rFonts w:ascii="Times New Roman" w:eastAsia="MS Mincho" w:hAnsi="Times New Roman" w:cs="Times New Roman"/>
          <w:b/>
          <w:color w:val="000000" w:themeColor="text1"/>
          <w:sz w:val="22"/>
          <w:szCs w:val="22"/>
          <w:lang w:eastAsia="ja-JP"/>
        </w:rPr>
      </w:pPr>
      <w:r w:rsidRPr="008E4F13">
        <w:rPr>
          <w:rFonts w:ascii="Times New Roman" w:eastAsia="MS Mincho" w:hAnsi="Times New Roman" w:cs="Times New Roman"/>
          <w:b/>
          <w:color w:val="000000" w:themeColor="text1"/>
          <w:sz w:val="22"/>
          <w:szCs w:val="22"/>
          <w:lang w:eastAsia="ja-JP"/>
        </w:rPr>
        <w:t>Proposal</w:t>
      </w:r>
      <w:r>
        <w:rPr>
          <w:rFonts w:ascii="Times New Roman" w:eastAsia="MS Mincho" w:hAnsi="Times New Roman" w:cs="Times New Roman"/>
          <w:b/>
          <w:color w:val="000000" w:themeColor="text1"/>
          <w:sz w:val="22"/>
          <w:szCs w:val="22"/>
          <w:lang w:eastAsia="ja-JP"/>
        </w:rPr>
        <w:t xml:space="preserve"> 6</w:t>
      </w:r>
      <w:r w:rsidRPr="008E4F13">
        <w:rPr>
          <w:rFonts w:ascii="Times New Roman" w:eastAsia="MS Mincho" w:hAnsi="Times New Roman" w:cs="Times New Roman"/>
          <w:b/>
          <w:color w:val="000000" w:themeColor="text1"/>
          <w:sz w:val="22"/>
          <w:szCs w:val="22"/>
          <w:lang w:eastAsia="ja-JP"/>
        </w:rPr>
        <w:t xml:space="preserve">: RAN1 agrees on common values to be used in link level simulations, including VoIP data rate, </w:t>
      </w:r>
      <w:proofErr w:type="spellStart"/>
      <w:r w:rsidRPr="008E4F13">
        <w:rPr>
          <w:rFonts w:ascii="Times New Roman" w:eastAsia="MS Mincho" w:hAnsi="Times New Roman" w:cs="Times New Roman"/>
          <w:b/>
          <w:color w:val="000000" w:themeColor="text1"/>
          <w:sz w:val="22"/>
          <w:szCs w:val="22"/>
          <w:lang w:eastAsia="ja-JP"/>
        </w:rPr>
        <w:t>eMBB</w:t>
      </w:r>
      <w:proofErr w:type="spellEnd"/>
      <w:r w:rsidRPr="008E4F13">
        <w:rPr>
          <w:rFonts w:ascii="Times New Roman" w:eastAsia="MS Mincho" w:hAnsi="Times New Roman" w:cs="Times New Roman"/>
          <w:b/>
          <w:color w:val="000000" w:themeColor="text1"/>
          <w:sz w:val="22"/>
          <w:szCs w:val="22"/>
          <w:lang w:eastAsia="ja-JP"/>
        </w:rPr>
        <w:t xml:space="preserve"> data rate, link level channel model, velocity, carrier frequency, SCS, system bandwidth, duplexing mode including slot configuration for TDD, number or UE/</w:t>
      </w:r>
      <w:proofErr w:type="spellStart"/>
      <w:r w:rsidRPr="008E4F13">
        <w:rPr>
          <w:rFonts w:ascii="Times New Roman" w:eastAsia="MS Mincho" w:hAnsi="Times New Roman" w:cs="Times New Roman"/>
          <w:b/>
          <w:color w:val="000000" w:themeColor="text1"/>
          <w:sz w:val="22"/>
          <w:szCs w:val="22"/>
          <w:lang w:eastAsia="ja-JP"/>
        </w:rPr>
        <w:t>gNB</w:t>
      </w:r>
      <w:proofErr w:type="spellEnd"/>
      <w:r w:rsidRPr="008E4F13">
        <w:rPr>
          <w:rFonts w:ascii="Times New Roman" w:eastAsia="MS Mincho" w:hAnsi="Times New Roman" w:cs="Times New Roman"/>
          <w:b/>
          <w:color w:val="000000" w:themeColor="text1"/>
          <w:sz w:val="22"/>
          <w:szCs w:val="22"/>
          <w:lang w:eastAsia="ja-JP"/>
        </w:rPr>
        <w:t xml:space="preserve"> TX/RX antennas and reference symbol configuration.</w:t>
      </w:r>
    </w:p>
    <w:p w14:paraId="54AA9FB8" w14:textId="77777777" w:rsidR="005E459E" w:rsidRPr="0065385D" w:rsidRDefault="005E459E" w:rsidP="00FD5E85">
      <w:pPr>
        <w:rPr>
          <w:rFonts w:eastAsia="MS Mincho"/>
          <w:b/>
        </w:rPr>
      </w:pPr>
    </w:p>
    <w:p w14:paraId="644C6D25" w14:textId="1944CC2A" w:rsidR="004246DC" w:rsidRPr="005B50B6" w:rsidRDefault="00F119FE" w:rsidP="004246DC">
      <w:pPr>
        <w:pStyle w:val="Heading1"/>
        <w:jc w:val="left"/>
        <w:rPr>
          <w:color w:val="000000" w:themeColor="text1"/>
          <w:lang w:eastAsia="zh-CN"/>
        </w:rPr>
      </w:pPr>
      <w:r>
        <w:rPr>
          <w:color w:val="000000" w:themeColor="text1"/>
          <w:lang w:eastAsia="zh-CN"/>
        </w:rPr>
        <w:lastRenderedPageBreak/>
        <w:t>R</w:t>
      </w:r>
      <w:r w:rsidR="004246DC" w:rsidRPr="005B50B6">
        <w:rPr>
          <w:color w:val="000000" w:themeColor="text1"/>
          <w:lang w:eastAsia="zh-CN"/>
        </w:rPr>
        <w:t>eferences</w:t>
      </w:r>
      <w:r w:rsidR="004246DC" w:rsidRPr="005B50B6">
        <w:rPr>
          <w:rFonts w:hint="eastAsia"/>
          <w:color w:val="000000" w:themeColor="text1"/>
          <w:lang w:eastAsia="zh-CN"/>
        </w:rPr>
        <w:t xml:space="preserve"> </w:t>
      </w:r>
    </w:p>
    <w:p w14:paraId="1E89A24F" w14:textId="6747C89A" w:rsidR="00A37249" w:rsidRDefault="00F42704" w:rsidP="00A64768">
      <w:pPr>
        <w:pStyle w:val="NormalWeb"/>
        <w:numPr>
          <w:ilvl w:val="0"/>
          <w:numId w:val="2"/>
        </w:numPr>
        <w:spacing w:before="0" w:beforeAutospacing="0" w:after="120" w:afterAutospacing="0"/>
        <w:rPr>
          <w:rFonts w:ascii="Times New Roman" w:hAnsi="Times New Roman" w:cs="Times New Roman"/>
          <w:sz w:val="21"/>
          <w:szCs w:val="21"/>
        </w:rPr>
      </w:pPr>
      <w:r>
        <w:rPr>
          <w:rFonts w:ascii="Times New Roman" w:eastAsia="Times New Roman" w:hAnsi="Times New Roman" w:cs="Times New Roman"/>
          <w:color w:val="201F1E"/>
          <w:sz w:val="21"/>
          <w:szCs w:val="21"/>
          <w:bdr w:val="none" w:sz="0" w:space="0" w:color="auto" w:frame="1"/>
        </w:rPr>
        <w:t>RP-1932</w:t>
      </w:r>
      <w:r w:rsidR="00016C55">
        <w:rPr>
          <w:rFonts w:ascii="Times New Roman" w:eastAsia="Times New Roman" w:hAnsi="Times New Roman" w:cs="Times New Roman"/>
          <w:color w:val="201F1E"/>
          <w:sz w:val="21"/>
          <w:szCs w:val="21"/>
          <w:bdr w:val="none" w:sz="0" w:space="0" w:color="auto" w:frame="1"/>
        </w:rPr>
        <w:t>40</w:t>
      </w:r>
      <w:r w:rsidR="002128E3" w:rsidRPr="00494162">
        <w:rPr>
          <w:rFonts w:ascii="Times New Roman" w:hAnsi="Times New Roman" w:cs="Times New Roman"/>
          <w:sz w:val="21"/>
          <w:szCs w:val="21"/>
        </w:rPr>
        <w:t>.</w:t>
      </w:r>
      <w:r w:rsidR="00A37249" w:rsidRPr="00494162">
        <w:rPr>
          <w:rFonts w:ascii="Times New Roman" w:hAnsi="Times New Roman" w:cs="Times New Roman"/>
          <w:sz w:val="21"/>
          <w:szCs w:val="21"/>
        </w:rPr>
        <w:t xml:space="preserve"> </w:t>
      </w:r>
      <w:r>
        <w:rPr>
          <w:rFonts w:ascii="Times New Roman" w:hAnsi="Times New Roman" w:cs="Times New Roman"/>
          <w:sz w:val="21"/>
          <w:szCs w:val="21"/>
        </w:rPr>
        <w:t xml:space="preserve">“New SID on </w:t>
      </w:r>
      <w:r w:rsidR="00016C55">
        <w:rPr>
          <w:rFonts w:ascii="Times New Roman" w:hAnsi="Times New Roman" w:cs="Times New Roman"/>
          <w:sz w:val="21"/>
          <w:szCs w:val="21"/>
        </w:rPr>
        <w:t>NR coverage enhancement</w:t>
      </w:r>
      <w:r>
        <w:rPr>
          <w:rFonts w:ascii="Times New Roman" w:hAnsi="Times New Roman" w:cs="Times New Roman"/>
          <w:sz w:val="21"/>
          <w:szCs w:val="21"/>
        </w:rPr>
        <w:t xml:space="preserve">”. </w:t>
      </w:r>
      <w:r w:rsidR="00A37249" w:rsidRPr="00494162">
        <w:rPr>
          <w:rFonts w:ascii="Times New Roman" w:hAnsi="Times New Roman" w:cs="Times New Roman"/>
          <w:sz w:val="21"/>
          <w:szCs w:val="21"/>
        </w:rPr>
        <w:t>RAN</w:t>
      </w:r>
      <w:r>
        <w:rPr>
          <w:rFonts w:ascii="Times New Roman" w:hAnsi="Times New Roman" w:cs="Times New Roman"/>
          <w:sz w:val="21"/>
          <w:szCs w:val="21"/>
        </w:rPr>
        <w:t xml:space="preserve"> plenary # 86</w:t>
      </w:r>
      <w:r w:rsidR="00A37249" w:rsidRPr="00494162">
        <w:rPr>
          <w:rFonts w:ascii="Times New Roman" w:hAnsi="Times New Roman" w:cs="Times New Roman"/>
          <w:sz w:val="21"/>
          <w:szCs w:val="21"/>
        </w:rPr>
        <w:t>.</w:t>
      </w:r>
      <w:r>
        <w:rPr>
          <w:rFonts w:ascii="Times New Roman" w:hAnsi="Times New Roman" w:cs="Times New Roman"/>
          <w:sz w:val="21"/>
          <w:szCs w:val="21"/>
        </w:rPr>
        <w:t xml:space="preserve"> </w:t>
      </w:r>
      <w:proofErr w:type="spellStart"/>
      <w:r>
        <w:rPr>
          <w:rFonts w:ascii="Times New Roman" w:hAnsi="Times New Roman" w:cs="Times New Roman"/>
          <w:sz w:val="21"/>
          <w:szCs w:val="21"/>
        </w:rPr>
        <w:t>Sitges</w:t>
      </w:r>
      <w:proofErr w:type="spellEnd"/>
      <w:r>
        <w:rPr>
          <w:rFonts w:ascii="Times New Roman" w:hAnsi="Times New Roman" w:cs="Times New Roman"/>
          <w:sz w:val="21"/>
          <w:szCs w:val="21"/>
        </w:rPr>
        <w:t>, Spain.</w:t>
      </w:r>
      <w:r w:rsidR="00A37249" w:rsidRPr="00494162">
        <w:rPr>
          <w:rFonts w:ascii="Times New Roman" w:hAnsi="Times New Roman" w:cs="Times New Roman"/>
          <w:sz w:val="21"/>
          <w:szCs w:val="21"/>
        </w:rPr>
        <w:t xml:space="preserve"> </w:t>
      </w:r>
      <w:r>
        <w:rPr>
          <w:rFonts w:ascii="Times New Roman" w:hAnsi="Times New Roman" w:cs="Times New Roman"/>
          <w:sz w:val="21"/>
          <w:szCs w:val="21"/>
        </w:rPr>
        <w:t>December 2019</w:t>
      </w:r>
      <w:r w:rsidR="00A37249" w:rsidRPr="00494162">
        <w:rPr>
          <w:rFonts w:ascii="Times New Roman" w:hAnsi="Times New Roman" w:cs="Times New Roman"/>
          <w:sz w:val="21"/>
          <w:szCs w:val="21"/>
        </w:rPr>
        <w:t>.</w:t>
      </w:r>
    </w:p>
    <w:p w14:paraId="47E7B70D" w14:textId="45C41DE5" w:rsidR="00DA1B6B" w:rsidRDefault="00DA1B6B" w:rsidP="00A64768">
      <w:pPr>
        <w:pStyle w:val="NormalWeb"/>
        <w:numPr>
          <w:ilvl w:val="0"/>
          <w:numId w:val="2"/>
        </w:numPr>
        <w:spacing w:before="0" w:beforeAutospacing="0" w:after="120" w:afterAutospacing="0"/>
        <w:rPr>
          <w:rFonts w:ascii="Times New Roman" w:hAnsi="Times New Roman" w:cs="Times New Roman"/>
          <w:sz w:val="21"/>
          <w:szCs w:val="21"/>
        </w:rPr>
      </w:pPr>
      <w:bookmarkStart w:id="7" w:name="_Ref40132118"/>
      <w:r w:rsidRPr="00E95932">
        <w:rPr>
          <w:rFonts w:ascii="Times New Roman" w:eastAsia="Times New Roman" w:hAnsi="Times New Roman" w:cs="Times New Roman"/>
          <w:color w:val="201F1E"/>
          <w:sz w:val="21"/>
          <w:szCs w:val="21"/>
          <w:bdr w:val="none" w:sz="0" w:space="0" w:color="auto" w:frame="1"/>
        </w:rPr>
        <w:t>RP</w:t>
      </w:r>
      <w:r w:rsidRPr="00E95932">
        <w:rPr>
          <w:rFonts w:ascii="Times New Roman" w:hAnsi="Times New Roman" w:cs="Times New Roman"/>
          <w:sz w:val="21"/>
          <w:szCs w:val="21"/>
        </w:rPr>
        <w:t>-</w:t>
      </w:r>
      <w:r w:rsidR="0016188B" w:rsidRPr="00E95932">
        <w:rPr>
          <w:rFonts w:ascii="Times New Roman" w:hAnsi="Times New Roman" w:cs="Times New Roman"/>
          <w:sz w:val="21"/>
          <w:szCs w:val="21"/>
        </w:rPr>
        <w:t>191886</w:t>
      </w:r>
      <w:r w:rsidRPr="00E95932">
        <w:rPr>
          <w:rFonts w:ascii="Times New Roman" w:hAnsi="Times New Roman" w:cs="Times New Roman"/>
          <w:sz w:val="21"/>
          <w:szCs w:val="21"/>
        </w:rPr>
        <w:t>. “</w:t>
      </w:r>
      <w:r w:rsidR="0016188B" w:rsidRPr="00E95932">
        <w:rPr>
          <w:rFonts w:ascii="Times New Roman" w:hAnsi="Times New Roman" w:cs="Times New Roman"/>
          <w:sz w:val="21"/>
          <w:szCs w:val="21"/>
        </w:rPr>
        <w:t>Summary of</w:t>
      </w:r>
      <w:r w:rsidRPr="00E95932">
        <w:rPr>
          <w:rFonts w:ascii="Times New Roman" w:hAnsi="Times New Roman" w:cs="Times New Roman"/>
          <w:sz w:val="21"/>
          <w:szCs w:val="21"/>
        </w:rPr>
        <w:t xml:space="preserve"> email discussion on </w:t>
      </w:r>
      <w:r w:rsidR="0016188B" w:rsidRPr="00E95932">
        <w:rPr>
          <w:rFonts w:ascii="Times New Roman" w:hAnsi="Times New Roman" w:cs="Times New Roman"/>
          <w:sz w:val="21"/>
          <w:szCs w:val="21"/>
        </w:rPr>
        <w:t xml:space="preserve">NR </w:t>
      </w:r>
      <w:r w:rsidRPr="00E95932">
        <w:rPr>
          <w:rFonts w:ascii="Times New Roman" w:hAnsi="Times New Roman" w:cs="Times New Roman"/>
          <w:sz w:val="21"/>
          <w:szCs w:val="21"/>
        </w:rPr>
        <w:t xml:space="preserve">coverage enhancement”. </w:t>
      </w:r>
      <w:r w:rsidR="0016188B">
        <w:rPr>
          <w:rFonts w:ascii="Times New Roman" w:hAnsi="Times New Roman" w:cs="Times New Roman"/>
          <w:sz w:val="21"/>
          <w:szCs w:val="21"/>
        </w:rPr>
        <w:t>RAN plenary # 85</w:t>
      </w:r>
      <w:r>
        <w:rPr>
          <w:rFonts w:ascii="Times New Roman" w:hAnsi="Times New Roman" w:cs="Times New Roman"/>
          <w:sz w:val="21"/>
          <w:szCs w:val="21"/>
        </w:rPr>
        <w:t>.</w:t>
      </w:r>
      <w:r w:rsidR="0016188B">
        <w:rPr>
          <w:rFonts w:ascii="Times New Roman" w:hAnsi="Times New Roman" w:cs="Times New Roman"/>
          <w:sz w:val="21"/>
          <w:szCs w:val="21"/>
        </w:rPr>
        <w:t xml:space="preserve"> </w:t>
      </w:r>
      <w:r w:rsidR="006E068C">
        <w:rPr>
          <w:rFonts w:ascii="Times New Roman" w:hAnsi="Times New Roman" w:cs="Times New Roman"/>
          <w:sz w:val="21"/>
          <w:szCs w:val="21"/>
        </w:rPr>
        <w:t>Newport Beach, USA</w:t>
      </w:r>
      <w:r w:rsidR="0016188B">
        <w:rPr>
          <w:rFonts w:ascii="Times New Roman" w:hAnsi="Times New Roman" w:cs="Times New Roman"/>
          <w:sz w:val="21"/>
          <w:szCs w:val="21"/>
        </w:rPr>
        <w:t>. September 2019.</w:t>
      </w:r>
      <w:bookmarkEnd w:id="7"/>
    </w:p>
    <w:p w14:paraId="3A36DA36" w14:textId="69C4AF61" w:rsidR="006E068C" w:rsidRPr="00494162" w:rsidRDefault="006E068C" w:rsidP="00A64768">
      <w:pPr>
        <w:pStyle w:val="NormalWeb"/>
        <w:numPr>
          <w:ilvl w:val="0"/>
          <w:numId w:val="2"/>
        </w:numPr>
        <w:spacing w:before="0" w:beforeAutospacing="0" w:after="120" w:afterAutospacing="0"/>
        <w:rPr>
          <w:rFonts w:ascii="Times New Roman" w:hAnsi="Times New Roman" w:cs="Times New Roman"/>
          <w:sz w:val="21"/>
          <w:szCs w:val="21"/>
        </w:rPr>
      </w:pPr>
      <w:bookmarkStart w:id="8" w:name="_Ref40133459"/>
      <w:r>
        <w:rPr>
          <w:rFonts w:ascii="Times New Roman" w:eastAsia="Times New Roman" w:hAnsi="Times New Roman" w:cs="Times New Roman"/>
          <w:color w:val="201F1E"/>
          <w:sz w:val="21"/>
          <w:szCs w:val="21"/>
          <w:bdr w:val="none" w:sz="0" w:space="0" w:color="auto" w:frame="1"/>
        </w:rPr>
        <w:t>TR37</w:t>
      </w:r>
      <w:r w:rsidRPr="006E068C">
        <w:rPr>
          <w:rFonts w:ascii="Times New Roman" w:hAnsi="Times New Roman" w:cs="Times New Roman"/>
          <w:sz w:val="21"/>
          <w:szCs w:val="21"/>
        </w:rPr>
        <w:t>.</w:t>
      </w:r>
      <w:r>
        <w:rPr>
          <w:rFonts w:ascii="Times New Roman" w:hAnsi="Times New Roman" w:cs="Times New Roman"/>
          <w:sz w:val="21"/>
          <w:szCs w:val="21"/>
        </w:rPr>
        <w:t>910.</w:t>
      </w:r>
      <w:bookmarkEnd w:id="8"/>
      <w:r>
        <w:rPr>
          <w:rFonts w:ascii="Times New Roman" w:hAnsi="Times New Roman" w:cs="Times New Roman"/>
          <w:sz w:val="21"/>
          <w:szCs w:val="21"/>
        </w:rPr>
        <w:t xml:space="preserve"> </w:t>
      </w:r>
      <w:r w:rsidR="0011132F">
        <w:rPr>
          <w:rFonts w:ascii="Times New Roman" w:hAnsi="Times New Roman" w:cs="Times New Roman"/>
          <w:sz w:val="21"/>
          <w:szCs w:val="21"/>
        </w:rPr>
        <w:t xml:space="preserve">“Study on </w:t>
      </w:r>
      <w:proofErr w:type="spellStart"/>
      <w:r w:rsidR="0011132F">
        <w:rPr>
          <w:rFonts w:ascii="Times New Roman" w:hAnsi="Times New Roman" w:cs="Times New Roman"/>
          <w:sz w:val="21"/>
          <w:szCs w:val="21"/>
        </w:rPr>
        <w:t>self evaluation</w:t>
      </w:r>
      <w:proofErr w:type="spellEnd"/>
      <w:r w:rsidR="0011132F">
        <w:rPr>
          <w:rFonts w:ascii="Times New Roman" w:hAnsi="Times New Roman" w:cs="Times New Roman"/>
          <w:sz w:val="21"/>
          <w:szCs w:val="21"/>
        </w:rPr>
        <w:t xml:space="preserve"> towards IMT-2020 submission”.</w:t>
      </w: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12EA" w14:textId="77777777" w:rsidR="0021353E" w:rsidRDefault="0021353E" w:rsidP="00530B04">
      <w:pPr>
        <w:spacing w:after="0"/>
      </w:pPr>
      <w:r>
        <w:separator/>
      </w:r>
    </w:p>
  </w:endnote>
  <w:endnote w:type="continuationSeparator" w:id="0">
    <w:p w14:paraId="0CB64CEE" w14:textId="77777777" w:rsidR="0021353E" w:rsidRDefault="0021353E"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4D684" w14:textId="77777777" w:rsidR="0021353E" w:rsidRDefault="0021353E" w:rsidP="00530B04">
      <w:pPr>
        <w:spacing w:after="0"/>
      </w:pPr>
      <w:r>
        <w:separator/>
      </w:r>
    </w:p>
  </w:footnote>
  <w:footnote w:type="continuationSeparator" w:id="0">
    <w:p w14:paraId="36F23ECF" w14:textId="77777777" w:rsidR="0021353E" w:rsidRDefault="0021353E"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33F66"/>
    <w:multiLevelType w:val="hybridMultilevel"/>
    <w:tmpl w:val="D1AC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08AE"/>
    <w:multiLevelType w:val="hybridMultilevel"/>
    <w:tmpl w:val="39DAE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717F80"/>
    <w:multiLevelType w:val="hybridMultilevel"/>
    <w:tmpl w:val="39EA2380"/>
    <w:lvl w:ilvl="0" w:tplc="7A8487C4">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4C2620D"/>
    <w:multiLevelType w:val="hybridMultilevel"/>
    <w:tmpl w:val="9E6AF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B625A"/>
    <w:multiLevelType w:val="hybridMultilevel"/>
    <w:tmpl w:val="A1920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977A51"/>
    <w:multiLevelType w:val="hybridMultilevel"/>
    <w:tmpl w:val="6E9CA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32A8B"/>
    <w:multiLevelType w:val="hybridMultilevel"/>
    <w:tmpl w:val="BECE5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248DB"/>
    <w:multiLevelType w:val="hybridMultilevel"/>
    <w:tmpl w:val="D7F2F45E"/>
    <w:lvl w:ilvl="0" w:tplc="25602E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F037C7"/>
    <w:multiLevelType w:val="hybridMultilevel"/>
    <w:tmpl w:val="C3147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4084D"/>
    <w:multiLevelType w:val="multilevel"/>
    <w:tmpl w:val="625C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695A4B"/>
    <w:multiLevelType w:val="hybridMultilevel"/>
    <w:tmpl w:val="002E5E96"/>
    <w:lvl w:ilvl="0" w:tplc="7A8487C4">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02578"/>
    <w:multiLevelType w:val="hybridMultilevel"/>
    <w:tmpl w:val="2CEA954C"/>
    <w:lvl w:ilvl="0" w:tplc="25602E04">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E54971"/>
    <w:multiLevelType w:val="hybridMultilevel"/>
    <w:tmpl w:val="1FFE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620039"/>
    <w:multiLevelType w:val="hybridMultilevel"/>
    <w:tmpl w:val="C4CAFC80"/>
    <w:lvl w:ilvl="0" w:tplc="34F02EFC">
      <w:start w:val="7"/>
      <w:numFmt w:val="bullet"/>
      <w:lvlText w:val="-"/>
      <w:lvlJc w:val="left"/>
      <w:pPr>
        <w:ind w:left="720" w:hanging="360"/>
      </w:pPr>
      <w:rPr>
        <w:rFonts w:ascii="Calibri" w:eastAsiaTheme="minorEastAsia" w:hAnsi="Calibri" w:cs="Calibri"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0E52B0"/>
    <w:multiLevelType w:val="hybridMultilevel"/>
    <w:tmpl w:val="F6BC3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A21404"/>
    <w:multiLevelType w:val="multilevel"/>
    <w:tmpl w:val="00066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8"/>
  </w:num>
  <w:num w:numId="5">
    <w:abstractNumId w:val="34"/>
  </w:num>
  <w:num w:numId="6">
    <w:abstractNumId w:val="6"/>
  </w:num>
  <w:num w:numId="7">
    <w:abstractNumId w:val="7"/>
  </w:num>
  <w:num w:numId="8">
    <w:abstractNumId w:val="25"/>
  </w:num>
  <w:num w:numId="9">
    <w:abstractNumId w:val="10"/>
  </w:num>
  <w:num w:numId="10">
    <w:abstractNumId w:val="21"/>
  </w:num>
  <w:num w:numId="11">
    <w:abstractNumId w:val="31"/>
  </w:num>
  <w:num w:numId="12">
    <w:abstractNumId w:val="30"/>
  </w:num>
  <w:num w:numId="13">
    <w:abstractNumId w:val="33"/>
  </w:num>
  <w:num w:numId="14">
    <w:abstractNumId w:val="13"/>
  </w:num>
  <w:num w:numId="15">
    <w:abstractNumId w:val="26"/>
  </w:num>
  <w:num w:numId="16">
    <w:abstractNumId w:val="35"/>
  </w:num>
  <w:num w:numId="17">
    <w:abstractNumId w:val="32"/>
  </w:num>
  <w:num w:numId="18">
    <w:abstractNumId w:val="12"/>
  </w:num>
  <w:num w:numId="19">
    <w:abstractNumId w:val="14"/>
  </w:num>
  <w:num w:numId="20">
    <w:abstractNumId w:val="24"/>
  </w:num>
  <w:num w:numId="21">
    <w:abstractNumId w:val="22"/>
  </w:num>
  <w:num w:numId="2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27"/>
  </w:num>
  <w:num w:numId="24">
    <w:abstractNumId w:val="9"/>
  </w:num>
  <w:num w:numId="25">
    <w:abstractNumId w:val="37"/>
  </w:num>
  <w:num w:numId="26">
    <w:abstractNumId w:val="2"/>
  </w:num>
  <w:num w:numId="27">
    <w:abstractNumId w:val="3"/>
  </w:num>
  <w:num w:numId="28">
    <w:abstractNumId w:val="20"/>
  </w:num>
  <w:num w:numId="29">
    <w:abstractNumId w:val="11"/>
  </w:num>
  <w:num w:numId="30">
    <w:abstractNumId w:val="1"/>
  </w:num>
  <w:num w:numId="31">
    <w:abstractNumId w:val="36"/>
  </w:num>
  <w:num w:numId="32">
    <w:abstractNumId w:val="8"/>
  </w:num>
  <w:num w:numId="33">
    <w:abstractNumId w:val="16"/>
  </w:num>
  <w:num w:numId="34">
    <w:abstractNumId w:val="8"/>
  </w:num>
  <w:num w:numId="35">
    <w:abstractNumId w:val="4"/>
  </w:num>
  <w:num w:numId="36">
    <w:abstractNumId w:val="23"/>
  </w:num>
  <w:num w:numId="37">
    <w:abstractNumId w:val="28"/>
  </w:num>
  <w:num w:numId="38">
    <w:abstractNumId w:val="5"/>
  </w:num>
  <w:num w:numId="39">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18E8"/>
    <w:rsid w:val="000032AE"/>
    <w:rsid w:val="000057B6"/>
    <w:rsid w:val="0001062E"/>
    <w:rsid w:val="00012F61"/>
    <w:rsid w:val="0001388F"/>
    <w:rsid w:val="00014405"/>
    <w:rsid w:val="000153B8"/>
    <w:rsid w:val="000161E2"/>
    <w:rsid w:val="00016C55"/>
    <w:rsid w:val="00021B20"/>
    <w:rsid w:val="00022985"/>
    <w:rsid w:val="00025239"/>
    <w:rsid w:val="0002564F"/>
    <w:rsid w:val="00034ED6"/>
    <w:rsid w:val="000403E2"/>
    <w:rsid w:val="00042E3B"/>
    <w:rsid w:val="00051643"/>
    <w:rsid w:val="0005228D"/>
    <w:rsid w:val="000546AA"/>
    <w:rsid w:val="00057733"/>
    <w:rsid w:val="00057B34"/>
    <w:rsid w:val="000613FC"/>
    <w:rsid w:val="00065397"/>
    <w:rsid w:val="0006615E"/>
    <w:rsid w:val="00066942"/>
    <w:rsid w:val="0007331C"/>
    <w:rsid w:val="00073544"/>
    <w:rsid w:val="00074007"/>
    <w:rsid w:val="000760F3"/>
    <w:rsid w:val="0008402E"/>
    <w:rsid w:val="0009067B"/>
    <w:rsid w:val="00095B06"/>
    <w:rsid w:val="000A32BD"/>
    <w:rsid w:val="000A4B68"/>
    <w:rsid w:val="000A69FB"/>
    <w:rsid w:val="000A7089"/>
    <w:rsid w:val="000C100E"/>
    <w:rsid w:val="000C1B9D"/>
    <w:rsid w:val="000C37CD"/>
    <w:rsid w:val="000C5A45"/>
    <w:rsid w:val="000C68DA"/>
    <w:rsid w:val="000D18E2"/>
    <w:rsid w:val="000D212B"/>
    <w:rsid w:val="000E08F4"/>
    <w:rsid w:val="000E50C3"/>
    <w:rsid w:val="000E55AC"/>
    <w:rsid w:val="000F2A82"/>
    <w:rsid w:val="000F5158"/>
    <w:rsid w:val="00100000"/>
    <w:rsid w:val="00104830"/>
    <w:rsid w:val="00104A15"/>
    <w:rsid w:val="0011132F"/>
    <w:rsid w:val="00120F7F"/>
    <w:rsid w:val="00122687"/>
    <w:rsid w:val="00126EDA"/>
    <w:rsid w:val="001300E2"/>
    <w:rsid w:val="001325C9"/>
    <w:rsid w:val="00134CA4"/>
    <w:rsid w:val="00141E1E"/>
    <w:rsid w:val="00142174"/>
    <w:rsid w:val="00142BC5"/>
    <w:rsid w:val="0014580B"/>
    <w:rsid w:val="001461C7"/>
    <w:rsid w:val="00150413"/>
    <w:rsid w:val="0015155E"/>
    <w:rsid w:val="00151CEB"/>
    <w:rsid w:val="001531E7"/>
    <w:rsid w:val="00160048"/>
    <w:rsid w:val="0016188B"/>
    <w:rsid w:val="00162D81"/>
    <w:rsid w:val="00166037"/>
    <w:rsid w:val="00167BA9"/>
    <w:rsid w:val="001702D8"/>
    <w:rsid w:val="001724D0"/>
    <w:rsid w:val="00175F2F"/>
    <w:rsid w:val="001A126A"/>
    <w:rsid w:val="001A2CBC"/>
    <w:rsid w:val="001A6AC6"/>
    <w:rsid w:val="001B0FDD"/>
    <w:rsid w:val="001B1E2F"/>
    <w:rsid w:val="001B31C9"/>
    <w:rsid w:val="001B6FE1"/>
    <w:rsid w:val="001C0927"/>
    <w:rsid w:val="001C246B"/>
    <w:rsid w:val="001C7C0D"/>
    <w:rsid w:val="001C7FED"/>
    <w:rsid w:val="001D267B"/>
    <w:rsid w:val="001D52C3"/>
    <w:rsid w:val="001D5B26"/>
    <w:rsid w:val="001E2E0B"/>
    <w:rsid w:val="001E6B6C"/>
    <w:rsid w:val="001F5DA6"/>
    <w:rsid w:val="001F60E0"/>
    <w:rsid w:val="0020123A"/>
    <w:rsid w:val="002028DC"/>
    <w:rsid w:val="00204904"/>
    <w:rsid w:val="0020493E"/>
    <w:rsid w:val="002059D8"/>
    <w:rsid w:val="00205E36"/>
    <w:rsid w:val="00210FFF"/>
    <w:rsid w:val="002128E3"/>
    <w:rsid w:val="00212B79"/>
    <w:rsid w:val="0021353E"/>
    <w:rsid w:val="00217900"/>
    <w:rsid w:val="00220CB6"/>
    <w:rsid w:val="00225077"/>
    <w:rsid w:val="002261A0"/>
    <w:rsid w:val="002315E4"/>
    <w:rsid w:val="00232A0A"/>
    <w:rsid w:val="0023516F"/>
    <w:rsid w:val="0024099B"/>
    <w:rsid w:val="00242F08"/>
    <w:rsid w:val="00247964"/>
    <w:rsid w:val="00250B03"/>
    <w:rsid w:val="0025424F"/>
    <w:rsid w:val="00254A51"/>
    <w:rsid w:val="00255D7E"/>
    <w:rsid w:val="00265C71"/>
    <w:rsid w:val="0027504A"/>
    <w:rsid w:val="00276C50"/>
    <w:rsid w:val="00276E34"/>
    <w:rsid w:val="0028263A"/>
    <w:rsid w:val="00286E12"/>
    <w:rsid w:val="00287FC2"/>
    <w:rsid w:val="00290B96"/>
    <w:rsid w:val="00292726"/>
    <w:rsid w:val="0029410F"/>
    <w:rsid w:val="00295F80"/>
    <w:rsid w:val="002A53FA"/>
    <w:rsid w:val="002B75D4"/>
    <w:rsid w:val="002C2B39"/>
    <w:rsid w:val="002C4807"/>
    <w:rsid w:val="002C654F"/>
    <w:rsid w:val="002D17F4"/>
    <w:rsid w:val="002D2F34"/>
    <w:rsid w:val="002D3EFE"/>
    <w:rsid w:val="002D6AF5"/>
    <w:rsid w:val="002D71B7"/>
    <w:rsid w:val="002E4CA9"/>
    <w:rsid w:val="002F1966"/>
    <w:rsid w:val="002F3A7A"/>
    <w:rsid w:val="002F4052"/>
    <w:rsid w:val="002F452E"/>
    <w:rsid w:val="002F7564"/>
    <w:rsid w:val="00300EB6"/>
    <w:rsid w:val="00302EB0"/>
    <w:rsid w:val="003040E4"/>
    <w:rsid w:val="00305186"/>
    <w:rsid w:val="003071AF"/>
    <w:rsid w:val="003072DE"/>
    <w:rsid w:val="00312BC6"/>
    <w:rsid w:val="0031691B"/>
    <w:rsid w:val="00316C97"/>
    <w:rsid w:val="003173CA"/>
    <w:rsid w:val="00323CA7"/>
    <w:rsid w:val="003242AF"/>
    <w:rsid w:val="0033036A"/>
    <w:rsid w:val="003327C0"/>
    <w:rsid w:val="00334F71"/>
    <w:rsid w:val="00336EEF"/>
    <w:rsid w:val="00342FB0"/>
    <w:rsid w:val="0035550A"/>
    <w:rsid w:val="003577EA"/>
    <w:rsid w:val="00360917"/>
    <w:rsid w:val="00362D49"/>
    <w:rsid w:val="00371C27"/>
    <w:rsid w:val="00373D7C"/>
    <w:rsid w:val="00377B22"/>
    <w:rsid w:val="003816B5"/>
    <w:rsid w:val="0038553E"/>
    <w:rsid w:val="00386A7B"/>
    <w:rsid w:val="003873D5"/>
    <w:rsid w:val="00390498"/>
    <w:rsid w:val="003934EE"/>
    <w:rsid w:val="0039479F"/>
    <w:rsid w:val="00396B27"/>
    <w:rsid w:val="003A0020"/>
    <w:rsid w:val="003A2EF9"/>
    <w:rsid w:val="003A7597"/>
    <w:rsid w:val="003B1CED"/>
    <w:rsid w:val="003B20C3"/>
    <w:rsid w:val="003B373D"/>
    <w:rsid w:val="003B45FD"/>
    <w:rsid w:val="003B490F"/>
    <w:rsid w:val="003B7FD7"/>
    <w:rsid w:val="003C05C3"/>
    <w:rsid w:val="003C5C6D"/>
    <w:rsid w:val="003C626D"/>
    <w:rsid w:val="003C73D1"/>
    <w:rsid w:val="003C73FB"/>
    <w:rsid w:val="003D0288"/>
    <w:rsid w:val="003D0455"/>
    <w:rsid w:val="003D3E07"/>
    <w:rsid w:val="003D7FA8"/>
    <w:rsid w:val="003E158F"/>
    <w:rsid w:val="003E4225"/>
    <w:rsid w:val="003E6854"/>
    <w:rsid w:val="003E73DE"/>
    <w:rsid w:val="003E7AD5"/>
    <w:rsid w:val="003F00AD"/>
    <w:rsid w:val="003F12D0"/>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079B"/>
    <w:rsid w:val="00461EC0"/>
    <w:rsid w:val="00463B0C"/>
    <w:rsid w:val="00464A4F"/>
    <w:rsid w:val="00465669"/>
    <w:rsid w:val="00466682"/>
    <w:rsid w:val="00474ED9"/>
    <w:rsid w:val="00477789"/>
    <w:rsid w:val="00481255"/>
    <w:rsid w:val="00485E02"/>
    <w:rsid w:val="00494162"/>
    <w:rsid w:val="00495113"/>
    <w:rsid w:val="0049514C"/>
    <w:rsid w:val="0049619F"/>
    <w:rsid w:val="00496FA8"/>
    <w:rsid w:val="004A4E7B"/>
    <w:rsid w:val="004B2E3C"/>
    <w:rsid w:val="004B31E1"/>
    <w:rsid w:val="004B3AA0"/>
    <w:rsid w:val="004B4070"/>
    <w:rsid w:val="004B4437"/>
    <w:rsid w:val="004B69D7"/>
    <w:rsid w:val="004C0F10"/>
    <w:rsid w:val="004C6A36"/>
    <w:rsid w:val="004D013C"/>
    <w:rsid w:val="004D46BE"/>
    <w:rsid w:val="004D7829"/>
    <w:rsid w:val="004E044C"/>
    <w:rsid w:val="004E254D"/>
    <w:rsid w:val="004E3171"/>
    <w:rsid w:val="004E5331"/>
    <w:rsid w:val="004E5969"/>
    <w:rsid w:val="004E61AA"/>
    <w:rsid w:val="004E6843"/>
    <w:rsid w:val="004E7E02"/>
    <w:rsid w:val="004F1660"/>
    <w:rsid w:val="004F609F"/>
    <w:rsid w:val="00500E4A"/>
    <w:rsid w:val="00505644"/>
    <w:rsid w:val="0050646B"/>
    <w:rsid w:val="005076F2"/>
    <w:rsid w:val="005107A5"/>
    <w:rsid w:val="00530844"/>
    <w:rsid w:val="00530B04"/>
    <w:rsid w:val="00531E06"/>
    <w:rsid w:val="005369B8"/>
    <w:rsid w:val="00540413"/>
    <w:rsid w:val="005440C1"/>
    <w:rsid w:val="00553115"/>
    <w:rsid w:val="0055445A"/>
    <w:rsid w:val="0055721F"/>
    <w:rsid w:val="0055778B"/>
    <w:rsid w:val="005603EF"/>
    <w:rsid w:val="00563682"/>
    <w:rsid w:val="00563FB0"/>
    <w:rsid w:val="00564D26"/>
    <w:rsid w:val="005676BE"/>
    <w:rsid w:val="00572B63"/>
    <w:rsid w:val="00574663"/>
    <w:rsid w:val="005822BA"/>
    <w:rsid w:val="00583339"/>
    <w:rsid w:val="00586D7A"/>
    <w:rsid w:val="00587F9B"/>
    <w:rsid w:val="00592986"/>
    <w:rsid w:val="00594F37"/>
    <w:rsid w:val="005A67E8"/>
    <w:rsid w:val="005A6CD0"/>
    <w:rsid w:val="005A7FF6"/>
    <w:rsid w:val="005B5A09"/>
    <w:rsid w:val="005B7ECD"/>
    <w:rsid w:val="005C09FE"/>
    <w:rsid w:val="005C0E12"/>
    <w:rsid w:val="005C24C9"/>
    <w:rsid w:val="005C5BA4"/>
    <w:rsid w:val="005C6643"/>
    <w:rsid w:val="005C6B4C"/>
    <w:rsid w:val="005C7E80"/>
    <w:rsid w:val="005D309E"/>
    <w:rsid w:val="005E03DF"/>
    <w:rsid w:val="005E09D4"/>
    <w:rsid w:val="005E13A6"/>
    <w:rsid w:val="005E1A91"/>
    <w:rsid w:val="005E459E"/>
    <w:rsid w:val="005E70AF"/>
    <w:rsid w:val="005E73B5"/>
    <w:rsid w:val="005F0908"/>
    <w:rsid w:val="005F1734"/>
    <w:rsid w:val="005F63D2"/>
    <w:rsid w:val="005F68C4"/>
    <w:rsid w:val="006052E2"/>
    <w:rsid w:val="00606A20"/>
    <w:rsid w:val="006124F9"/>
    <w:rsid w:val="0061626A"/>
    <w:rsid w:val="00621B1D"/>
    <w:rsid w:val="0062247A"/>
    <w:rsid w:val="006242E4"/>
    <w:rsid w:val="0063024C"/>
    <w:rsid w:val="00636DFE"/>
    <w:rsid w:val="006413A7"/>
    <w:rsid w:val="0064152A"/>
    <w:rsid w:val="00641ADD"/>
    <w:rsid w:val="00642466"/>
    <w:rsid w:val="006427C8"/>
    <w:rsid w:val="00643E90"/>
    <w:rsid w:val="00646AEF"/>
    <w:rsid w:val="00646B7C"/>
    <w:rsid w:val="006474CC"/>
    <w:rsid w:val="00647782"/>
    <w:rsid w:val="0065182B"/>
    <w:rsid w:val="00651869"/>
    <w:rsid w:val="0065314B"/>
    <w:rsid w:val="0065385D"/>
    <w:rsid w:val="00654588"/>
    <w:rsid w:val="00657190"/>
    <w:rsid w:val="00663073"/>
    <w:rsid w:val="00663BD2"/>
    <w:rsid w:val="006678A2"/>
    <w:rsid w:val="0067076C"/>
    <w:rsid w:val="00671E8F"/>
    <w:rsid w:val="006740B4"/>
    <w:rsid w:val="006746AD"/>
    <w:rsid w:val="0067690E"/>
    <w:rsid w:val="00677092"/>
    <w:rsid w:val="00677D23"/>
    <w:rsid w:val="00681739"/>
    <w:rsid w:val="0069005D"/>
    <w:rsid w:val="006900DA"/>
    <w:rsid w:val="00690F85"/>
    <w:rsid w:val="00694AB7"/>
    <w:rsid w:val="00696312"/>
    <w:rsid w:val="006A13DD"/>
    <w:rsid w:val="006A3A08"/>
    <w:rsid w:val="006A466C"/>
    <w:rsid w:val="006B01A9"/>
    <w:rsid w:val="006B2FE3"/>
    <w:rsid w:val="006B7D13"/>
    <w:rsid w:val="006C14B5"/>
    <w:rsid w:val="006C2844"/>
    <w:rsid w:val="006C3DF1"/>
    <w:rsid w:val="006C5075"/>
    <w:rsid w:val="006C6263"/>
    <w:rsid w:val="006C70EB"/>
    <w:rsid w:val="006D2034"/>
    <w:rsid w:val="006D5AAA"/>
    <w:rsid w:val="006D5E2A"/>
    <w:rsid w:val="006E068C"/>
    <w:rsid w:val="006E1647"/>
    <w:rsid w:val="006E264A"/>
    <w:rsid w:val="006F13B0"/>
    <w:rsid w:val="006F2EFA"/>
    <w:rsid w:val="006F5283"/>
    <w:rsid w:val="006F6B7B"/>
    <w:rsid w:val="006F73E6"/>
    <w:rsid w:val="006F780A"/>
    <w:rsid w:val="007038A3"/>
    <w:rsid w:val="007043DE"/>
    <w:rsid w:val="0070601F"/>
    <w:rsid w:val="00706307"/>
    <w:rsid w:val="007077EF"/>
    <w:rsid w:val="00707CEB"/>
    <w:rsid w:val="00707D3B"/>
    <w:rsid w:val="007115A4"/>
    <w:rsid w:val="0071385C"/>
    <w:rsid w:val="00713BB4"/>
    <w:rsid w:val="00714CDF"/>
    <w:rsid w:val="00722E5A"/>
    <w:rsid w:val="007239AE"/>
    <w:rsid w:val="00730F6F"/>
    <w:rsid w:val="0073176A"/>
    <w:rsid w:val="00731A06"/>
    <w:rsid w:val="00734A9A"/>
    <w:rsid w:val="0073591B"/>
    <w:rsid w:val="007505C9"/>
    <w:rsid w:val="007603C1"/>
    <w:rsid w:val="00760AAA"/>
    <w:rsid w:val="00770BD5"/>
    <w:rsid w:val="007715B0"/>
    <w:rsid w:val="00776BE6"/>
    <w:rsid w:val="00777F7E"/>
    <w:rsid w:val="0078098C"/>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4BD0"/>
    <w:rsid w:val="007E72A3"/>
    <w:rsid w:val="007E747A"/>
    <w:rsid w:val="007F6452"/>
    <w:rsid w:val="00800455"/>
    <w:rsid w:val="0080381A"/>
    <w:rsid w:val="00803B1B"/>
    <w:rsid w:val="00806A6F"/>
    <w:rsid w:val="00810A1B"/>
    <w:rsid w:val="008110D0"/>
    <w:rsid w:val="0082620E"/>
    <w:rsid w:val="008369B8"/>
    <w:rsid w:val="008370DD"/>
    <w:rsid w:val="00847EED"/>
    <w:rsid w:val="0085208F"/>
    <w:rsid w:val="0085472E"/>
    <w:rsid w:val="0085483F"/>
    <w:rsid w:val="0085768E"/>
    <w:rsid w:val="00860DFE"/>
    <w:rsid w:val="00863133"/>
    <w:rsid w:val="00863389"/>
    <w:rsid w:val="00865697"/>
    <w:rsid w:val="00876A34"/>
    <w:rsid w:val="00881175"/>
    <w:rsid w:val="008818C5"/>
    <w:rsid w:val="00884A4A"/>
    <w:rsid w:val="00892216"/>
    <w:rsid w:val="00896203"/>
    <w:rsid w:val="00896B0A"/>
    <w:rsid w:val="008A2C42"/>
    <w:rsid w:val="008B0ED1"/>
    <w:rsid w:val="008B12CB"/>
    <w:rsid w:val="008B3E08"/>
    <w:rsid w:val="008B6D60"/>
    <w:rsid w:val="008B79E9"/>
    <w:rsid w:val="008C51DA"/>
    <w:rsid w:val="008C6975"/>
    <w:rsid w:val="008C6C5A"/>
    <w:rsid w:val="008C6D14"/>
    <w:rsid w:val="008D1F35"/>
    <w:rsid w:val="008D5458"/>
    <w:rsid w:val="008D59A1"/>
    <w:rsid w:val="008E25FE"/>
    <w:rsid w:val="008E2BD5"/>
    <w:rsid w:val="008E2D8A"/>
    <w:rsid w:val="008E4F13"/>
    <w:rsid w:val="008E5D29"/>
    <w:rsid w:val="008E649E"/>
    <w:rsid w:val="008E715F"/>
    <w:rsid w:val="0090039A"/>
    <w:rsid w:val="00902966"/>
    <w:rsid w:val="0090571D"/>
    <w:rsid w:val="00907769"/>
    <w:rsid w:val="009126CB"/>
    <w:rsid w:val="00913C8B"/>
    <w:rsid w:val="00915024"/>
    <w:rsid w:val="009150D5"/>
    <w:rsid w:val="009203F8"/>
    <w:rsid w:val="009261A6"/>
    <w:rsid w:val="00926FEB"/>
    <w:rsid w:val="00940723"/>
    <w:rsid w:val="00944758"/>
    <w:rsid w:val="0095231A"/>
    <w:rsid w:val="00953E51"/>
    <w:rsid w:val="00954B20"/>
    <w:rsid w:val="00956C9F"/>
    <w:rsid w:val="00957DFD"/>
    <w:rsid w:val="00957F4C"/>
    <w:rsid w:val="00964E43"/>
    <w:rsid w:val="0096637A"/>
    <w:rsid w:val="00970E5F"/>
    <w:rsid w:val="009778D4"/>
    <w:rsid w:val="00977ECE"/>
    <w:rsid w:val="009817F3"/>
    <w:rsid w:val="00982D6E"/>
    <w:rsid w:val="00984E9C"/>
    <w:rsid w:val="00990C75"/>
    <w:rsid w:val="009966AF"/>
    <w:rsid w:val="009A41C1"/>
    <w:rsid w:val="009A6135"/>
    <w:rsid w:val="009B0EED"/>
    <w:rsid w:val="009B5E87"/>
    <w:rsid w:val="009B7D52"/>
    <w:rsid w:val="009C08E4"/>
    <w:rsid w:val="009C7910"/>
    <w:rsid w:val="009D16D0"/>
    <w:rsid w:val="009E046A"/>
    <w:rsid w:val="009E2D9B"/>
    <w:rsid w:val="009E2FF8"/>
    <w:rsid w:val="009F3650"/>
    <w:rsid w:val="009F64ED"/>
    <w:rsid w:val="00A029DB"/>
    <w:rsid w:val="00A0336C"/>
    <w:rsid w:val="00A05961"/>
    <w:rsid w:val="00A07243"/>
    <w:rsid w:val="00A12697"/>
    <w:rsid w:val="00A1357A"/>
    <w:rsid w:val="00A15421"/>
    <w:rsid w:val="00A17E57"/>
    <w:rsid w:val="00A206BD"/>
    <w:rsid w:val="00A208E5"/>
    <w:rsid w:val="00A24DC7"/>
    <w:rsid w:val="00A25CE6"/>
    <w:rsid w:val="00A32179"/>
    <w:rsid w:val="00A32295"/>
    <w:rsid w:val="00A37249"/>
    <w:rsid w:val="00A37746"/>
    <w:rsid w:val="00A402FD"/>
    <w:rsid w:val="00A41051"/>
    <w:rsid w:val="00A42809"/>
    <w:rsid w:val="00A44A92"/>
    <w:rsid w:val="00A47FFA"/>
    <w:rsid w:val="00A503FC"/>
    <w:rsid w:val="00A51B48"/>
    <w:rsid w:val="00A53238"/>
    <w:rsid w:val="00A53A3A"/>
    <w:rsid w:val="00A57D0E"/>
    <w:rsid w:val="00A64768"/>
    <w:rsid w:val="00A6477E"/>
    <w:rsid w:val="00A6559A"/>
    <w:rsid w:val="00A65AFB"/>
    <w:rsid w:val="00A71163"/>
    <w:rsid w:val="00A74344"/>
    <w:rsid w:val="00A819C8"/>
    <w:rsid w:val="00A84DF2"/>
    <w:rsid w:val="00A85482"/>
    <w:rsid w:val="00A864FC"/>
    <w:rsid w:val="00A936F7"/>
    <w:rsid w:val="00A93ADC"/>
    <w:rsid w:val="00A93CF8"/>
    <w:rsid w:val="00AA2A07"/>
    <w:rsid w:val="00AB086E"/>
    <w:rsid w:val="00AB10AC"/>
    <w:rsid w:val="00AB4CF8"/>
    <w:rsid w:val="00AC2C24"/>
    <w:rsid w:val="00AC415D"/>
    <w:rsid w:val="00AC4A7D"/>
    <w:rsid w:val="00AD4640"/>
    <w:rsid w:val="00AD6A52"/>
    <w:rsid w:val="00AD7994"/>
    <w:rsid w:val="00AD7BF2"/>
    <w:rsid w:val="00AE1DAB"/>
    <w:rsid w:val="00AE4392"/>
    <w:rsid w:val="00AF03C4"/>
    <w:rsid w:val="00AF33D4"/>
    <w:rsid w:val="00AF4A07"/>
    <w:rsid w:val="00AF7017"/>
    <w:rsid w:val="00B0009D"/>
    <w:rsid w:val="00B020FD"/>
    <w:rsid w:val="00B028E2"/>
    <w:rsid w:val="00B061C0"/>
    <w:rsid w:val="00B22200"/>
    <w:rsid w:val="00B2580D"/>
    <w:rsid w:val="00B25D18"/>
    <w:rsid w:val="00B26432"/>
    <w:rsid w:val="00B26D49"/>
    <w:rsid w:val="00B30009"/>
    <w:rsid w:val="00B36186"/>
    <w:rsid w:val="00B412F4"/>
    <w:rsid w:val="00B4287D"/>
    <w:rsid w:val="00B44092"/>
    <w:rsid w:val="00B53815"/>
    <w:rsid w:val="00B53AD1"/>
    <w:rsid w:val="00B53BC2"/>
    <w:rsid w:val="00B613E8"/>
    <w:rsid w:val="00B70303"/>
    <w:rsid w:val="00B7050D"/>
    <w:rsid w:val="00B707EF"/>
    <w:rsid w:val="00B758BF"/>
    <w:rsid w:val="00B816FB"/>
    <w:rsid w:val="00B82D5A"/>
    <w:rsid w:val="00B83E67"/>
    <w:rsid w:val="00B865D9"/>
    <w:rsid w:val="00B95BEA"/>
    <w:rsid w:val="00B95FA0"/>
    <w:rsid w:val="00BA6E30"/>
    <w:rsid w:val="00BB4F18"/>
    <w:rsid w:val="00BC2173"/>
    <w:rsid w:val="00BC317E"/>
    <w:rsid w:val="00BC4D36"/>
    <w:rsid w:val="00BC5A24"/>
    <w:rsid w:val="00BD499B"/>
    <w:rsid w:val="00BE0768"/>
    <w:rsid w:val="00BE0880"/>
    <w:rsid w:val="00BE14E6"/>
    <w:rsid w:val="00BE250E"/>
    <w:rsid w:val="00BE576A"/>
    <w:rsid w:val="00BE6CF3"/>
    <w:rsid w:val="00BE7F81"/>
    <w:rsid w:val="00BF4B25"/>
    <w:rsid w:val="00C0027D"/>
    <w:rsid w:val="00C01C9F"/>
    <w:rsid w:val="00C03812"/>
    <w:rsid w:val="00C076BF"/>
    <w:rsid w:val="00C20861"/>
    <w:rsid w:val="00C25BDC"/>
    <w:rsid w:val="00C26567"/>
    <w:rsid w:val="00C26709"/>
    <w:rsid w:val="00C272A1"/>
    <w:rsid w:val="00C320B3"/>
    <w:rsid w:val="00C36E8E"/>
    <w:rsid w:val="00C372EC"/>
    <w:rsid w:val="00C3754F"/>
    <w:rsid w:val="00C42335"/>
    <w:rsid w:val="00C44F57"/>
    <w:rsid w:val="00C474AA"/>
    <w:rsid w:val="00C5034B"/>
    <w:rsid w:val="00C5142B"/>
    <w:rsid w:val="00C52AEE"/>
    <w:rsid w:val="00C532F8"/>
    <w:rsid w:val="00C54504"/>
    <w:rsid w:val="00C56993"/>
    <w:rsid w:val="00C63B03"/>
    <w:rsid w:val="00C642E8"/>
    <w:rsid w:val="00C66D08"/>
    <w:rsid w:val="00C72D90"/>
    <w:rsid w:val="00C7640F"/>
    <w:rsid w:val="00C76757"/>
    <w:rsid w:val="00C81E5B"/>
    <w:rsid w:val="00C92114"/>
    <w:rsid w:val="00C928D3"/>
    <w:rsid w:val="00C92A04"/>
    <w:rsid w:val="00CA1196"/>
    <w:rsid w:val="00CA1675"/>
    <w:rsid w:val="00CB6BE5"/>
    <w:rsid w:val="00CC1E86"/>
    <w:rsid w:val="00CD2A68"/>
    <w:rsid w:val="00CD6847"/>
    <w:rsid w:val="00CE5803"/>
    <w:rsid w:val="00CE6E4D"/>
    <w:rsid w:val="00CF3F8F"/>
    <w:rsid w:val="00CF49C3"/>
    <w:rsid w:val="00D02440"/>
    <w:rsid w:val="00D02DE5"/>
    <w:rsid w:val="00D04897"/>
    <w:rsid w:val="00D04BC9"/>
    <w:rsid w:val="00D058BC"/>
    <w:rsid w:val="00D110CC"/>
    <w:rsid w:val="00D141B3"/>
    <w:rsid w:val="00D14349"/>
    <w:rsid w:val="00D155C0"/>
    <w:rsid w:val="00D2036F"/>
    <w:rsid w:val="00D23290"/>
    <w:rsid w:val="00D25B4B"/>
    <w:rsid w:val="00D2733E"/>
    <w:rsid w:val="00D329AA"/>
    <w:rsid w:val="00D33E82"/>
    <w:rsid w:val="00D34818"/>
    <w:rsid w:val="00D3542C"/>
    <w:rsid w:val="00D377A1"/>
    <w:rsid w:val="00D405A1"/>
    <w:rsid w:val="00D47331"/>
    <w:rsid w:val="00D47AFB"/>
    <w:rsid w:val="00D500AC"/>
    <w:rsid w:val="00D51313"/>
    <w:rsid w:val="00D54E6C"/>
    <w:rsid w:val="00D56F35"/>
    <w:rsid w:val="00D57D20"/>
    <w:rsid w:val="00D66DCA"/>
    <w:rsid w:val="00D6718D"/>
    <w:rsid w:val="00D71331"/>
    <w:rsid w:val="00D7604F"/>
    <w:rsid w:val="00D77D26"/>
    <w:rsid w:val="00D810B1"/>
    <w:rsid w:val="00D84393"/>
    <w:rsid w:val="00D851AB"/>
    <w:rsid w:val="00D859ED"/>
    <w:rsid w:val="00D86F91"/>
    <w:rsid w:val="00D9164A"/>
    <w:rsid w:val="00DA1B6B"/>
    <w:rsid w:val="00DA3435"/>
    <w:rsid w:val="00DA6189"/>
    <w:rsid w:val="00DB06AA"/>
    <w:rsid w:val="00DB6D71"/>
    <w:rsid w:val="00DB7B66"/>
    <w:rsid w:val="00DC46BA"/>
    <w:rsid w:val="00DC4A5F"/>
    <w:rsid w:val="00DC67D8"/>
    <w:rsid w:val="00DC6A2A"/>
    <w:rsid w:val="00DD3092"/>
    <w:rsid w:val="00DE34B2"/>
    <w:rsid w:val="00DF1865"/>
    <w:rsid w:val="00E00594"/>
    <w:rsid w:val="00E07936"/>
    <w:rsid w:val="00E1582B"/>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503F"/>
    <w:rsid w:val="00E56F8A"/>
    <w:rsid w:val="00E56FF3"/>
    <w:rsid w:val="00E6127F"/>
    <w:rsid w:val="00E67452"/>
    <w:rsid w:val="00E70EAC"/>
    <w:rsid w:val="00E73A5C"/>
    <w:rsid w:val="00E760CC"/>
    <w:rsid w:val="00E77640"/>
    <w:rsid w:val="00E779E1"/>
    <w:rsid w:val="00E842E1"/>
    <w:rsid w:val="00E84588"/>
    <w:rsid w:val="00E85293"/>
    <w:rsid w:val="00E86730"/>
    <w:rsid w:val="00E87003"/>
    <w:rsid w:val="00E95932"/>
    <w:rsid w:val="00E96F47"/>
    <w:rsid w:val="00EA14B9"/>
    <w:rsid w:val="00EA1C74"/>
    <w:rsid w:val="00EA5745"/>
    <w:rsid w:val="00EA656A"/>
    <w:rsid w:val="00EB628D"/>
    <w:rsid w:val="00EC0AE4"/>
    <w:rsid w:val="00EC15AE"/>
    <w:rsid w:val="00EC6D7E"/>
    <w:rsid w:val="00ED1385"/>
    <w:rsid w:val="00ED13BC"/>
    <w:rsid w:val="00ED2663"/>
    <w:rsid w:val="00EE2052"/>
    <w:rsid w:val="00EE2C79"/>
    <w:rsid w:val="00EE385F"/>
    <w:rsid w:val="00EF5ED8"/>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271A0"/>
    <w:rsid w:val="00F30F37"/>
    <w:rsid w:val="00F34D9C"/>
    <w:rsid w:val="00F37121"/>
    <w:rsid w:val="00F37168"/>
    <w:rsid w:val="00F42704"/>
    <w:rsid w:val="00F431CC"/>
    <w:rsid w:val="00F434A7"/>
    <w:rsid w:val="00F47913"/>
    <w:rsid w:val="00F516C7"/>
    <w:rsid w:val="00F5181F"/>
    <w:rsid w:val="00F53128"/>
    <w:rsid w:val="00F55DFE"/>
    <w:rsid w:val="00F56661"/>
    <w:rsid w:val="00F60439"/>
    <w:rsid w:val="00F64734"/>
    <w:rsid w:val="00F65379"/>
    <w:rsid w:val="00F6659C"/>
    <w:rsid w:val="00F70EDB"/>
    <w:rsid w:val="00F73C61"/>
    <w:rsid w:val="00F744EA"/>
    <w:rsid w:val="00F751EE"/>
    <w:rsid w:val="00F765D7"/>
    <w:rsid w:val="00F76DB2"/>
    <w:rsid w:val="00F80356"/>
    <w:rsid w:val="00F80AF6"/>
    <w:rsid w:val="00F83D25"/>
    <w:rsid w:val="00F861AF"/>
    <w:rsid w:val="00F940C1"/>
    <w:rsid w:val="00F95181"/>
    <w:rsid w:val="00F95A00"/>
    <w:rsid w:val="00F95D10"/>
    <w:rsid w:val="00F96C76"/>
    <w:rsid w:val="00F96EC1"/>
    <w:rsid w:val="00FA28B0"/>
    <w:rsid w:val="00FA3186"/>
    <w:rsid w:val="00FC3E37"/>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22"/>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627705470">
      <w:bodyDiv w:val="1"/>
      <w:marLeft w:val="0"/>
      <w:marRight w:val="0"/>
      <w:marTop w:val="0"/>
      <w:marBottom w:val="0"/>
      <w:divBdr>
        <w:top w:val="none" w:sz="0" w:space="0" w:color="auto"/>
        <w:left w:val="none" w:sz="0" w:space="0" w:color="auto"/>
        <w:bottom w:val="none" w:sz="0" w:space="0" w:color="auto"/>
        <w:right w:val="none" w:sz="0" w:space="0" w:color="auto"/>
      </w:divBdr>
    </w:div>
    <w:div w:id="659650013">
      <w:bodyDiv w:val="1"/>
      <w:marLeft w:val="0"/>
      <w:marRight w:val="0"/>
      <w:marTop w:val="0"/>
      <w:marBottom w:val="0"/>
      <w:divBdr>
        <w:top w:val="none" w:sz="0" w:space="0" w:color="auto"/>
        <w:left w:val="none" w:sz="0" w:space="0" w:color="auto"/>
        <w:bottom w:val="none" w:sz="0" w:space="0" w:color="auto"/>
        <w:right w:val="none" w:sz="0" w:space="0" w:color="auto"/>
      </w:divBdr>
    </w:div>
    <w:div w:id="955915568">
      <w:bodyDiv w:val="1"/>
      <w:marLeft w:val="0"/>
      <w:marRight w:val="0"/>
      <w:marTop w:val="0"/>
      <w:marBottom w:val="0"/>
      <w:divBdr>
        <w:top w:val="none" w:sz="0" w:space="0" w:color="auto"/>
        <w:left w:val="none" w:sz="0" w:space="0" w:color="auto"/>
        <w:bottom w:val="none" w:sz="0" w:space="0" w:color="auto"/>
        <w:right w:val="none" w:sz="0" w:space="0" w:color="auto"/>
      </w:divBdr>
    </w:div>
    <w:div w:id="963197890">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 w:id="180253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2547-676C-45A9-9B7B-5646B73B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3</cp:revision>
  <cp:lastPrinted>2019-10-03T12:34:00Z</cp:lastPrinted>
  <dcterms:created xsi:type="dcterms:W3CDTF">2020-05-14T23:33:00Z</dcterms:created>
  <dcterms:modified xsi:type="dcterms:W3CDTF">2020-05-16T00:32:00Z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